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 Kindergarten Glossary of Elements from CCSS Language Standards (L)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0"/>
          <w:i w:val="1"/>
          <w:color w:val="000000"/>
          <w:sz w:val="24"/>
          <w:szCs w:val="24"/>
          <w:rtl w:val="0"/>
        </w:rPr>
        <w:t xml:space="preserve">Conventions of Standard Language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Standard (L.K.1) –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Demonstrate command of the conventions of standard English grammar and usage when writing or speaking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36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Print many upper- and lower-case letters.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360" w:hanging="360"/>
        <w:contextualSpacing w:val="1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Use frequently occurring nouns and verbs.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36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Form regular plural nouns orally by adding /s/ or /es/.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36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Understand how to use question words (interrogatives).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36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Use the most frequently occurring prepositions.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36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Produce and expand complete sentences in shared language activites.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4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20"/>
        <w:gridCol w:w="3330"/>
        <w:gridCol w:w="2520"/>
        <w:gridCol w:w="2070"/>
        <w:tblGridChange w:id="0">
          <w:tblGrid>
            <w:gridCol w:w="2520"/>
            <w:gridCol w:w="3330"/>
            <w:gridCol w:w="2520"/>
            <w:gridCol w:w="2070"/>
          </w:tblGrid>
        </w:tblGridChange>
      </w:tblGrid>
      <w:tr>
        <w:trPr>
          <w:trHeight w:val="340" w:hRule="atLeast"/>
        </w:trPr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Examples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Resource(s)</w:t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 Print upper- and lower-case letters.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Noun, 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upper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case letter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 - one of the large alphabetic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characters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 used as the first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letter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in writing or printing proper names and sometimes for emphasis; …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letter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 written or printed in a size smaller than and often in a form differing from its corresponding capital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letter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Uppercase letters- A special way of printing letters that are tall.  They show importance and the beginning of a sentence. (A, B, C…)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Lowercase letters- A way of printing letters  that can be tall, smalll or descending.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5">
              <w:r w:rsidDel="00000000" w:rsidR="00000000" w:rsidRPr="00000000">
                <w:rPr>
                  <w:rFonts w:ascii="Cambria" w:cs="Cambria" w:eastAsia="Cambria" w:hAnsi="Cambria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http://peabody.vanderbilt.edu/docs/pdf/sped/CASL%20Handwriting%20Program.pdf</w:t>
              </w:r>
            </w:hyperlink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b.  Noun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A word used to name a person, place, animal, place, thing, and an abstract idea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Often described 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naming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Person:  policeman, teacher, mom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Place:  playground, school, home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Thing: desk, crayon, backpack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Abstract Idea: love, hate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regular plural nouns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The word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plural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 denotes a quantity greater than 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dog, dogs; wish. wishes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.  Verb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Verbs are doing words. A verb can express a physical action, a mental action, or a state of being.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A physical action: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to swim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to write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to climb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A mental action: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to think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to guess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to consider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A state of being: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to be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to exist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to appear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d.  Interrogatives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in·ter·rog·a·tive:. adjective \ˌin-tə-ˈrä-gə-tiv\. grammar : having the form of a question rather than a statement or command. : used to ask a question. : asking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who, what, when, where, why, how?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e.  Prepositions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Prepositions tell the “position” of people or things in relation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rtl w:val="0"/>
              </w:rPr>
              <w:t xml:space="preserve">place or time.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in, on, at, around, above, near, underneath, alongside, of, and for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f.  Complete sentences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A sentence that usually includes who/what and what they did (noun and verb) along with correct  capitalization and punctuation.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The dog ran.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Where did the dog go?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Modeled writing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Share the pen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Morning Message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0"/>
          <w:i w:val="1"/>
          <w:color w:val="000000"/>
          <w:sz w:val="24"/>
          <w:szCs w:val="24"/>
          <w:rtl w:val="0"/>
        </w:rPr>
        <w:t xml:space="preserve">Conventions of Standard Language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Standard (L.K.2) –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Demonstrate command of the conventions of standard English capitalization, punctuation, and spelling when 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Capitalize the first word in a sentence and the pronoun I.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Recognize and name end punctuation.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Write a letter or letters for most consonant and short-vowel sounds (phonemes).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Spell simple words phonetically, drawing on knowledge of sound-letter relationships.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44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20"/>
        <w:gridCol w:w="3330"/>
        <w:gridCol w:w="2520"/>
        <w:gridCol w:w="2070"/>
        <w:tblGridChange w:id="0">
          <w:tblGrid>
            <w:gridCol w:w="2520"/>
            <w:gridCol w:w="3330"/>
            <w:gridCol w:w="2520"/>
            <w:gridCol w:w="2070"/>
          </w:tblGrid>
        </w:tblGridChange>
      </w:tblGrid>
      <w:tr>
        <w:trPr>
          <w:trHeight w:val="340" w:hRule="atLeast"/>
        </w:trPr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Examples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Resource(s)</w:t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 Capitalization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To begin a word with an upper-case letter.  Used at the beginning of a sentence, for a proper noun, or for the word “I”.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he dog ran.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 live 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ichigan.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My brother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went to grandma’s house.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b.  End punctuation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To mark the ends of sentences using the correct symbol.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Period :  The dog ran.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Question mark: Where did the dog go?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Exclamation mark: Watch out!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c.  Phonemes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A phoneme is a single “unit” of sound that has meaning in any language.  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Cat has three phonemes: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  /c/  /a/  /t/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Cheese has three phonemes: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 /ch/  /ee/  /z/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d.  Phonetic spelling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Phonetic spelling is the representation of vocal sounds which express pronunciations of words. It is a system of spelling in which each letter represents invariably the same spoken sound.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333333"/>
                <w:sz w:val="18"/>
                <w:szCs w:val="18"/>
                <w:rtl w:val="0"/>
              </w:rPr>
              <w:t xml:space="preserve">DA (day)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333333"/>
                <w:sz w:val="18"/>
                <w:szCs w:val="18"/>
                <w:rtl w:val="0"/>
              </w:rPr>
              <w:t xml:space="preserve">WEL (will)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333333"/>
                <w:sz w:val="18"/>
                <w:szCs w:val="18"/>
                <w:rtl w:val="0"/>
              </w:rPr>
              <w:t xml:space="preserve">KAM (came)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333333"/>
                <w:sz w:val="18"/>
                <w:szCs w:val="18"/>
                <w:rtl w:val="0"/>
              </w:rPr>
              <w:t xml:space="preserve">BAD (bed)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333333"/>
                <w:sz w:val="18"/>
                <w:szCs w:val="18"/>
                <w:rtl w:val="0"/>
              </w:rPr>
              <w:t xml:space="preserve">FEL (feel)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333333"/>
                <w:sz w:val="18"/>
                <w:szCs w:val="18"/>
                <w:rtl w:val="0"/>
              </w:rPr>
              <w:t xml:space="preserve">SAD (said)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333333"/>
                <w:sz w:val="18"/>
                <w:szCs w:val="18"/>
                <w:rtl w:val="0"/>
              </w:rPr>
              <w:t xml:space="preserve">LIK (like)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333333"/>
                <w:sz w:val="18"/>
                <w:szCs w:val="18"/>
                <w:rtl w:val="0"/>
              </w:rPr>
              <w:t xml:space="preserve">YOH (watch)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333333"/>
                <w:sz w:val="18"/>
                <w:szCs w:val="18"/>
                <w:rtl w:val="0"/>
              </w:rPr>
              <w:t xml:space="preserve">FES (fish)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333333"/>
                <w:sz w:val="18"/>
                <w:szCs w:val="18"/>
                <w:rtl w:val="0"/>
              </w:rPr>
              <w:t xml:space="preserve">YL (will)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333333"/>
                <w:sz w:val="18"/>
                <w:szCs w:val="18"/>
                <w:rtl w:val="0"/>
              </w:rPr>
              <w:t xml:space="preserve">YAR (where)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0"/>
          <w:i w:val="1"/>
          <w:color w:val="000000"/>
          <w:sz w:val="24"/>
          <w:szCs w:val="24"/>
          <w:rtl w:val="0"/>
        </w:rPr>
        <w:t xml:space="preserve">Knowledge of Language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Standard (L.K.3) 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Begins in grade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0"/>
          <w:i w:val="1"/>
          <w:color w:val="000000"/>
          <w:sz w:val="24"/>
          <w:szCs w:val="24"/>
          <w:rtl w:val="0"/>
        </w:rPr>
        <w:t xml:space="preserve">Vocabulary Acquisition and Use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Standard (L.K.4) –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Determine or clarify the meaning of unknown and multiple-meaning words and phrases based on kindergarten reading and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Identify new meanings for familiar words and apply them accurately.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Use the most frequently occurring inflections and affixes as a clue to the meaning of an unknown word.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44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20"/>
        <w:gridCol w:w="3330"/>
        <w:gridCol w:w="2520"/>
        <w:gridCol w:w="2070"/>
        <w:tblGridChange w:id="0">
          <w:tblGrid>
            <w:gridCol w:w="2520"/>
            <w:gridCol w:w="3330"/>
            <w:gridCol w:w="2520"/>
            <w:gridCol w:w="2070"/>
          </w:tblGrid>
        </w:tblGridChange>
      </w:tblGrid>
      <w:tr>
        <w:trPr>
          <w:trHeight w:val="340" w:hRule="atLeast"/>
        </w:trPr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Examples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Resource(s)</w:t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 Homonyms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Words that sound like one another but have different meanings.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Knowing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ff0000"/>
                <w:sz w:val="20"/>
                <w:szCs w:val="20"/>
                <w:rtl w:val="0"/>
              </w:rPr>
              <w:t xml:space="preserve">duck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is a bird; learning the verb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ff0000"/>
                <w:sz w:val="20"/>
                <w:szCs w:val="20"/>
                <w:rtl w:val="0"/>
              </w:rPr>
              <w:t xml:space="preserve">to duck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b.  Inflections and affixes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 inflection is a change in the form of a word that reflects a change in grammatical function.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 affix is a word element, such as a prefix or suffix, that can only occur attached to a base, stem, or root.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 like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rtl w:val="0"/>
              </w:rPr>
              <w:t xml:space="preserve">read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.  Therefor, I am 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rtl w:val="0"/>
              </w:rPr>
              <w:t xml:space="preserve">reader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It is a nice day for 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rtl w:val="0"/>
              </w:rPr>
              <w:t xml:space="preserve">walk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.  I enjoy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rtl w:val="0"/>
              </w:rPr>
              <w:t xml:space="preserve">walking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-ed, -s, re-, un-, pre-, -ful,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-less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Standard (L.K.5) –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With guidance and support from adults, explore word relationships and nuances in word meanings.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Sort common objects into categories to gain a sense of the concepts the categories represent.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Demonstrate understanding of frequently occurring verbs and adjectives by relating them to their opposites (antonyms).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Identify real-life connections between words and their uses.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Distinguish shades of meaning among verbs describing the same general action by acting out the meanings.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44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20"/>
        <w:gridCol w:w="3330"/>
        <w:gridCol w:w="2520"/>
        <w:gridCol w:w="2070"/>
        <w:tblGridChange w:id="0">
          <w:tblGrid>
            <w:gridCol w:w="2520"/>
            <w:gridCol w:w="3330"/>
            <w:gridCol w:w="2520"/>
            <w:gridCol w:w="2070"/>
          </w:tblGrid>
        </w:tblGridChange>
      </w:tblGrid>
      <w:tr>
        <w:trPr>
          <w:trHeight w:val="340" w:hRule="atLeast"/>
        </w:trPr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Examples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Resource(s)</w:t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 Categories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specifically defined division in a system of classification; class.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Shapes, foods, colors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b.  Antonyms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A word opposite in meaning to another.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hot – cold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big - little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run – walk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sit - stand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c.  Real-life connections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0"/>
                <w:szCs w:val="20"/>
                <w:highlight w:val="white"/>
                <w:rtl w:val="0"/>
              </w:rPr>
              <w:t xml:space="preserve">Connections between words and their use, and finding examples from students’ own lives.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Places at school that are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colorful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Games they play that are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active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0" w:hanging="335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d. Synonyms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A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45454"/>
                <w:sz w:val="20"/>
                <w:szCs w:val="20"/>
                <w:highlight w:val="white"/>
                <w:rtl w:val="0"/>
              </w:rPr>
              <w:t xml:space="preserve">synonym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 is a word or phrase that means exactly or nearly the same as another word or phrase in the same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walk, march, strut, prance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quickly, speedily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cuddle, snuggle, hug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Standard (L.K.6) –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Use words and phrases acquired through conversations, reading and being read to, and responding to texts.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44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20"/>
        <w:gridCol w:w="3330"/>
        <w:gridCol w:w="2520"/>
        <w:gridCol w:w="2070"/>
        <w:tblGridChange w:id="0">
          <w:tblGrid>
            <w:gridCol w:w="2520"/>
            <w:gridCol w:w="3330"/>
            <w:gridCol w:w="2520"/>
            <w:gridCol w:w="2070"/>
          </w:tblGrid>
        </w:tblGridChange>
      </w:tblGrid>
      <w:tr>
        <w:trPr>
          <w:trHeight w:val="340" w:hRule="atLeast"/>
        </w:trPr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Examples</w:t>
            </w:r>
          </w:p>
        </w:tc>
        <w:tc>
          <w:tcPr>
            <w:shd w:fill="a6a6a6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Resource(s)</w:t>
            </w:r>
          </w:p>
        </w:tc>
      </w:tr>
      <w:tr>
        <w:trPr>
          <w:trHeight w:val="340" w:hRule="atLeast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Transfer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This standard is about students using the words and phrases learned and applying them in formal and informal conversations, in their reading, and in their writing.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Circle time conversations will include correct usage of sentence structure.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During the sharing time of workshop, students will utilize vocabulary that has been introduced.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bookmarkStart w:colFirst="0" w:colLast="0" w:name="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 writing, students will begin to utilize inflections correctly, recognizing the familiar spelling patterns.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800" w:firstLine="1440"/>
      </w:pPr>
      <w:rPr>
        <w:rFonts w:ascii="Cambria" w:cs="Cambria" w:eastAsia="Cambria" w:hAnsi="Cambria"/>
      </w:rPr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peabody.vanderbilt.edu/docs/pdf/sped/CASL%20Handwriting%20Program.pdf" TargetMode="External"/><Relationship Id="rId6" Type="http://schemas.openxmlformats.org/officeDocument/2006/relationships/hyperlink" Target="http://peabody.vanderbilt.edu/docs/pdf/sped/CASL%20Handwriting%20Program.pdf" TargetMode="External"/><Relationship Id="rId7" Type="http://schemas.openxmlformats.org/officeDocument/2006/relationships/hyperlink" Target="http://peabody.vanderbilt.edu/docs/pdf/sped/CASL%20Handwriting%20Program.pdf" TargetMode="External"/><Relationship Id="rId8" Type="http://schemas.openxmlformats.org/officeDocument/2006/relationships/hyperlink" Target="http://peabody.vanderbilt.edu/docs/pdf/sped/CASL%20Handwriting%20Program.pdf" TargetMode="External"/></Relationships>
</file>