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3E9E" w:rsidRDefault="00E7487A">
      <w:pPr>
        <w:widowControl w:val="0"/>
        <w:jc w:val="center"/>
      </w:pPr>
      <w:bookmarkStart w:id="0" w:name="_GoBack"/>
      <w:bookmarkEnd w:id="0"/>
      <w:r>
        <w:rPr>
          <w:sz w:val="36"/>
          <w:szCs w:val="36"/>
        </w:rPr>
        <w:t>Welcome to the collection of grammar resources for 6th grade.</w:t>
      </w:r>
      <w:r>
        <w:rPr>
          <w:b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Please read </w:t>
      </w:r>
      <w:hyperlink r:id="rId6">
        <w:r>
          <w:rPr>
            <w:b/>
            <w:color w:val="1155CC"/>
            <w:sz w:val="36"/>
            <w:szCs w:val="36"/>
            <w:u w:val="single"/>
          </w:rPr>
          <w:t>this document</w:t>
        </w:r>
      </w:hyperlink>
      <w:r>
        <w:rPr>
          <w:b/>
          <w:color w:val="FF0000"/>
          <w:sz w:val="36"/>
          <w:szCs w:val="36"/>
        </w:rPr>
        <w:t xml:space="preserve"> first.</w:t>
      </w:r>
    </w:p>
    <w:p w:rsidR="00633E9E" w:rsidRDefault="00E7487A">
      <w:pPr>
        <w:widowControl w:val="0"/>
        <w:jc w:val="center"/>
      </w:pPr>
      <w:r>
        <w:rPr>
          <w:b/>
          <w:sz w:val="28"/>
          <w:szCs w:val="28"/>
        </w:rPr>
        <w:t xml:space="preserve">Curriculum Calendar for Grammar </w:t>
      </w:r>
      <w:proofErr w:type="gramStart"/>
      <w:r>
        <w:rPr>
          <w:b/>
          <w:sz w:val="28"/>
          <w:szCs w:val="28"/>
        </w:rPr>
        <w:t>Across</w:t>
      </w:r>
      <w:proofErr w:type="gramEnd"/>
      <w:r>
        <w:rPr>
          <w:b/>
          <w:sz w:val="28"/>
          <w:szCs w:val="28"/>
        </w:rPr>
        <w:t xml:space="preserve"> the Writing Process: 6th Grade</w:t>
      </w:r>
    </w:p>
    <w:tbl>
      <w:tblPr>
        <w:tblStyle w:val="a"/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415"/>
        <w:gridCol w:w="1905"/>
        <w:gridCol w:w="2715"/>
        <w:gridCol w:w="2670"/>
        <w:gridCol w:w="2865"/>
      </w:tblGrid>
      <w:tr w:rsidR="00633E9E">
        <w:trPr>
          <w:trHeight w:val="620"/>
        </w:trPr>
        <w:tc>
          <w:tcPr>
            <w:tcW w:w="1665" w:type="dxa"/>
          </w:tcPr>
          <w:p w:rsidR="00633E9E" w:rsidRDefault="00633E9E">
            <w:pPr>
              <w:spacing w:after="0" w:line="240" w:lineRule="auto"/>
              <w:ind w:left="113" w:right="113"/>
            </w:pPr>
          </w:p>
        </w:tc>
        <w:tc>
          <w:tcPr>
            <w:tcW w:w="2415" w:type="dxa"/>
          </w:tcPr>
          <w:p w:rsidR="00633E9E" w:rsidRDefault="00E7487A">
            <w:pPr>
              <w:spacing w:after="0" w:line="240" w:lineRule="auto"/>
            </w:pPr>
            <w:r>
              <w:rPr>
                <w:b/>
              </w:rPr>
              <w:t>Writer’s Notebook/</w:t>
            </w:r>
          </w:p>
          <w:p w:rsidR="00633E9E" w:rsidRDefault="00E7487A">
            <w:pPr>
              <w:spacing w:after="0" w:line="240" w:lineRule="auto"/>
            </w:pPr>
            <w:r>
              <w:rPr>
                <w:b/>
              </w:rPr>
              <w:t>Personal Narrative</w:t>
            </w:r>
          </w:p>
        </w:tc>
        <w:tc>
          <w:tcPr>
            <w:tcW w:w="1905" w:type="dxa"/>
          </w:tcPr>
          <w:p w:rsidR="00633E9E" w:rsidRDefault="00E7487A">
            <w:pPr>
              <w:spacing w:after="0" w:line="240" w:lineRule="auto"/>
            </w:pPr>
            <w:r>
              <w:rPr>
                <w:b/>
              </w:rPr>
              <w:t>Argument Paragraph</w:t>
            </w:r>
          </w:p>
        </w:tc>
        <w:tc>
          <w:tcPr>
            <w:tcW w:w="2715" w:type="dxa"/>
          </w:tcPr>
          <w:p w:rsidR="00633E9E" w:rsidRDefault="00E7487A">
            <w:pPr>
              <w:spacing w:after="0" w:line="240" w:lineRule="auto"/>
            </w:pPr>
            <w:r>
              <w:rPr>
                <w:b/>
              </w:rPr>
              <w:t>Literary Essay</w:t>
            </w:r>
          </w:p>
        </w:tc>
        <w:tc>
          <w:tcPr>
            <w:tcW w:w="2670" w:type="dxa"/>
          </w:tcPr>
          <w:p w:rsidR="00633E9E" w:rsidRDefault="00E7487A">
            <w:pPr>
              <w:spacing w:after="0" w:line="240" w:lineRule="auto"/>
            </w:pPr>
            <w:r>
              <w:rPr>
                <w:b/>
              </w:rPr>
              <w:t>Information Essay</w:t>
            </w:r>
          </w:p>
        </w:tc>
        <w:tc>
          <w:tcPr>
            <w:tcW w:w="2865" w:type="dxa"/>
          </w:tcPr>
          <w:p w:rsidR="00633E9E" w:rsidRDefault="00E7487A">
            <w:pPr>
              <w:spacing w:after="0" w:line="240" w:lineRule="auto"/>
            </w:pPr>
            <w:r>
              <w:rPr>
                <w:b/>
              </w:rPr>
              <w:t>Argument Letter</w:t>
            </w:r>
          </w:p>
        </w:tc>
      </w:tr>
      <w:tr w:rsidR="00633E9E">
        <w:trPr>
          <w:trHeight w:val="1960"/>
        </w:trPr>
        <w:tc>
          <w:tcPr>
            <w:tcW w:w="1665" w:type="dxa"/>
          </w:tcPr>
          <w:p w:rsidR="00633E9E" w:rsidRDefault="00E7487A">
            <w:pPr>
              <w:spacing w:after="0" w:line="240" w:lineRule="auto"/>
              <w:ind w:left="113" w:right="113"/>
            </w:pPr>
            <w:r>
              <w:rPr>
                <w:b/>
              </w:rPr>
              <w:t>Generating/Notebook</w:t>
            </w:r>
          </w:p>
        </w:tc>
        <w:tc>
          <w:tcPr>
            <w:tcW w:w="2415" w:type="dxa"/>
          </w:tcPr>
          <w:p w:rsidR="00633E9E" w:rsidRDefault="00633E9E">
            <w:pPr>
              <w:spacing w:after="0" w:line="240" w:lineRule="auto"/>
            </w:pPr>
          </w:p>
        </w:tc>
        <w:tc>
          <w:tcPr>
            <w:tcW w:w="1905" w:type="dxa"/>
          </w:tcPr>
          <w:p w:rsidR="00633E9E" w:rsidRDefault="00E7487A">
            <w:pPr>
              <w:spacing w:after="0" w:line="240" w:lineRule="auto"/>
            </w:pPr>
            <w:r>
              <w:rPr>
                <w:shd w:val="clear" w:color="auto" w:fill="A4C2F4"/>
              </w:rPr>
              <w:t xml:space="preserve">Reminder - 5th Grade:  </w:t>
            </w: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A4C2F4"/>
              </w:rPr>
              <w:t>Capitalization &amp; end punctuation</w:t>
            </w:r>
          </w:p>
          <w:p w:rsidR="00633E9E" w:rsidRDefault="00633E9E">
            <w:pPr>
              <w:spacing w:after="0" w:line="240" w:lineRule="auto"/>
            </w:pPr>
          </w:p>
        </w:tc>
        <w:tc>
          <w:tcPr>
            <w:tcW w:w="2715" w:type="dxa"/>
          </w:tcPr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FCE5CD"/>
              </w:rPr>
              <w:t xml:space="preserve">*L.6.3a: Sentence Variation 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EA9999"/>
              </w:rPr>
              <w:t>Introduce: *L.6.3b: Style</w:t>
            </w: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EA9999"/>
              </w:rPr>
              <w:t>Tone</w:t>
            </w:r>
          </w:p>
        </w:tc>
        <w:tc>
          <w:tcPr>
            <w:tcW w:w="2670" w:type="dxa"/>
          </w:tcPr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L.6.1a: Subjective</w:t>
            </w: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Objective Pronouns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highlight w:val="yellow"/>
              </w:rPr>
              <w:t>*L.6.2a:</w:t>
            </w:r>
          </w:p>
          <w:p w:rsidR="00633E9E" w:rsidRDefault="00E7487A">
            <w:pPr>
              <w:spacing w:after="0" w:line="240" w:lineRule="auto"/>
            </w:pPr>
            <w:r>
              <w:rPr>
                <w:highlight w:val="yellow"/>
              </w:rPr>
              <w:t>Parenthesis Comma Dash</w:t>
            </w:r>
          </w:p>
        </w:tc>
        <w:tc>
          <w:tcPr>
            <w:tcW w:w="2865" w:type="dxa"/>
          </w:tcPr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highlight w:val="cyan"/>
              </w:rPr>
              <w:t>*L.6.1e: Expression in Conventional Language</w:t>
            </w:r>
          </w:p>
          <w:p w:rsidR="00633E9E" w:rsidRDefault="00633E9E">
            <w:pPr>
              <w:spacing w:after="0" w:line="240" w:lineRule="auto"/>
            </w:pPr>
          </w:p>
        </w:tc>
      </w:tr>
      <w:tr w:rsidR="00633E9E">
        <w:trPr>
          <w:trHeight w:val="2480"/>
        </w:trPr>
        <w:tc>
          <w:tcPr>
            <w:tcW w:w="1665" w:type="dxa"/>
          </w:tcPr>
          <w:p w:rsidR="00633E9E" w:rsidRDefault="00E7487A">
            <w:pPr>
              <w:spacing w:after="0" w:line="240" w:lineRule="auto"/>
              <w:ind w:left="113" w:right="113"/>
            </w:pPr>
            <w:r>
              <w:rPr>
                <w:b/>
              </w:rPr>
              <w:t>Drafting</w:t>
            </w:r>
          </w:p>
        </w:tc>
        <w:tc>
          <w:tcPr>
            <w:tcW w:w="2415" w:type="dxa"/>
          </w:tcPr>
          <w:p w:rsidR="00633E9E" w:rsidRDefault="00E7487A">
            <w:pPr>
              <w:spacing w:after="0" w:line="240" w:lineRule="auto"/>
            </w:pPr>
            <w:r>
              <w:rPr>
                <w:shd w:val="clear" w:color="auto" w:fill="A4C2F4"/>
              </w:rPr>
              <w:t xml:space="preserve">Reminder - 5th Grade:  </w:t>
            </w: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A4C2F4"/>
              </w:rPr>
              <w:t>Sentence Types</w:t>
            </w: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A4C2F4"/>
              </w:rPr>
              <w:t>Capitalization &amp;</w:t>
            </w:r>
            <w:r>
              <w:rPr>
                <w:shd w:val="clear" w:color="auto" w:fill="A4C2F4"/>
              </w:rPr>
              <w:t xml:space="preserve"> end punctuation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hyperlink r:id="rId7">
              <w:r>
                <w:rPr>
                  <w:color w:val="1155CC"/>
                  <w:u w:val="single"/>
                  <w:shd w:val="clear" w:color="auto" w:fill="B6D7A8"/>
                </w:rPr>
                <w:t>L.6.1 - Pronoun Review/Overuse</w:t>
              </w:r>
            </w:hyperlink>
          </w:p>
        </w:tc>
        <w:tc>
          <w:tcPr>
            <w:tcW w:w="1905" w:type="dxa"/>
          </w:tcPr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L.6.1a Pronoun Case (Subjective)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L.6.1a Pronoun Case (Objective)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*L.6.1c :Pronoun Number</w:t>
            </w:r>
          </w:p>
        </w:tc>
        <w:tc>
          <w:tcPr>
            <w:tcW w:w="2715" w:type="dxa"/>
          </w:tcPr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*L.6.1d: Pronoun</w:t>
            </w: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 xml:space="preserve">Antecedent 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*L.6.1d: Pronoun</w:t>
            </w: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ambiguous/vague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highlight w:val="yellow"/>
              </w:rPr>
              <w:t>*L.6.2a: Parentheses Comma Dash</w:t>
            </w:r>
          </w:p>
          <w:p w:rsidR="00633E9E" w:rsidRDefault="00633E9E">
            <w:pPr>
              <w:spacing w:after="0" w:line="240" w:lineRule="auto"/>
            </w:pPr>
          </w:p>
        </w:tc>
        <w:tc>
          <w:tcPr>
            <w:tcW w:w="2670" w:type="dxa"/>
          </w:tcPr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highlight w:val="cyan"/>
              </w:rPr>
              <w:t>*L.6.1e: Expression in Conventional Language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633E9E">
            <w:pPr>
              <w:spacing w:after="0" w:line="240" w:lineRule="auto"/>
            </w:pPr>
          </w:p>
          <w:p w:rsidR="00633E9E" w:rsidRDefault="00633E9E">
            <w:pPr>
              <w:spacing w:after="0" w:line="240" w:lineRule="auto"/>
            </w:pPr>
          </w:p>
        </w:tc>
        <w:tc>
          <w:tcPr>
            <w:tcW w:w="2865" w:type="dxa"/>
          </w:tcPr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L.6.1a Pronoun Case (Possessive)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EA9999"/>
              </w:rPr>
              <w:t>*L.6.3b: Tone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FCE5CD"/>
              </w:rPr>
              <w:t>*L.6.3a: Sentence Variation</w:t>
            </w:r>
          </w:p>
        </w:tc>
      </w:tr>
      <w:tr w:rsidR="00633E9E">
        <w:trPr>
          <w:trHeight w:val="3660"/>
        </w:trPr>
        <w:tc>
          <w:tcPr>
            <w:tcW w:w="1665" w:type="dxa"/>
          </w:tcPr>
          <w:p w:rsidR="00633E9E" w:rsidRDefault="00E7487A">
            <w:pPr>
              <w:spacing w:after="0" w:line="240" w:lineRule="auto"/>
              <w:ind w:left="113" w:right="113"/>
            </w:pPr>
            <w:r>
              <w:rPr>
                <w:b/>
              </w:rPr>
              <w:t>Revision</w:t>
            </w:r>
          </w:p>
        </w:tc>
        <w:tc>
          <w:tcPr>
            <w:tcW w:w="2415" w:type="dxa"/>
          </w:tcPr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hyperlink r:id="rId8">
              <w:r>
                <w:rPr>
                  <w:color w:val="1155CC"/>
                  <w:u w:val="single"/>
                  <w:shd w:val="clear" w:color="auto" w:fill="B6D7A8"/>
                </w:rPr>
                <w:t>L.6.1a Pronoun Case (Subjective)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hyperlink r:id="rId9">
              <w:r>
                <w:rPr>
                  <w:color w:val="1155CC"/>
                  <w:u w:val="single"/>
                  <w:shd w:val="clear" w:color="auto" w:fill="B6D7A8"/>
                </w:rPr>
                <w:t>L.6.1a Pronoun C</w:t>
              </w:r>
              <w:r>
                <w:rPr>
                  <w:color w:val="1155CC"/>
                  <w:u w:val="single"/>
                  <w:shd w:val="clear" w:color="auto" w:fill="B6D7A8"/>
                </w:rPr>
                <w:t>ase (Objective)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hyperlink r:id="rId10">
              <w:r>
                <w:rPr>
                  <w:color w:val="1155CC"/>
                  <w:u w:val="single"/>
                  <w:shd w:val="clear" w:color="auto" w:fill="B6D7A8"/>
                </w:rPr>
                <w:t>L.6.1b:  Pronoun, Intensive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B6D7A8"/>
              </w:rPr>
              <w:t>*</w:t>
            </w:r>
            <w:hyperlink r:id="rId11">
              <w:r>
                <w:rPr>
                  <w:color w:val="1155CC"/>
                  <w:u w:val="single"/>
                  <w:shd w:val="clear" w:color="auto" w:fill="B6D7A8"/>
                </w:rPr>
                <w:t>L</w:t>
              </w:r>
              <w:r>
                <w:rPr>
                  <w:color w:val="1155CC"/>
                  <w:u w:val="single"/>
                  <w:shd w:val="clear" w:color="auto" w:fill="B6D7A8"/>
                </w:rPr>
                <w:t>.6.1c: Pronoun, Number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633E9E">
            <w:pPr>
              <w:spacing w:after="0" w:line="240" w:lineRule="auto"/>
            </w:pPr>
          </w:p>
        </w:tc>
        <w:tc>
          <w:tcPr>
            <w:tcW w:w="1905" w:type="dxa"/>
          </w:tcPr>
          <w:p w:rsidR="00633E9E" w:rsidRDefault="00E7487A">
            <w:pPr>
              <w:spacing w:after="0" w:line="240" w:lineRule="auto"/>
            </w:pPr>
            <w:hyperlink r:id="rId12">
              <w:r>
                <w:rPr>
                  <w:color w:val="1155CC"/>
                  <w:u w:val="single"/>
                  <w:shd w:val="clear" w:color="auto" w:fill="B6D7A8"/>
                </w:rPr>
                <w:t xml:space="preserve"> *L.6.1d: Pronoun Antecedent</w:t>
              </w:r>
            </w:hyperlink>
            <w:hyperlink r:id="rId13">
              <w:r>
                <w:rPr>
                  <w:shd w:val="clear" w:color="auto" w:fill="B6D7A8"/>
                </w:rPr>
                <w:t xml:space="preserve"> </w:t>
              </w:r>
            </w:hyperlink>
          </w:p>
          <w:p w:rsidR="00633E9E" w:rsidRDefault="00E7487A">
            <w:pPr>
              <w:spacing w:after="0" w:line="240" w:lineRule="auto"/>
            </w:pPr>
            <w:hyperlink r:id="rId14">
              <w:r>
                <w:rPr>
                  <w:color w:val="1155CC"/>
                  <w:u w:val="single"/>
                  <w:shd w:val="clear" w:color="auto" w:fill="B6D7A8"/>
                </w:rPr>
                <w:t xml:space="preserve">ambiguous/vague 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t>*</w:t>
            </w:r>
            <w:hyperlink r:id="rId15">
              <w:r>
                <w:rPr>
                  <w:color w:val="1155CC"/>
                  <w:highlight w:val="yellow"/>
                  <w:u w:val="single"/>
                </w:rPr>
                <w:t>L.6.2a: (1 of 3) Paren</w:t>
              </w:r>
              <w:r>
                <w:rPr>
                  <w:color w:val="1155CC"/>
                  <w:highlight w:val="yellow"/>
                  <w:u w:val="single"/>
                </w:rPr>
                <w:t>theses to set off nonrestrictive elements-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highlight w:val="yellow"/>
              </w:rPr>
              <w:t>*</w:t>
            </w:r>
            <w:hyperlink r:id="rId16">
              <w:r>
                <w:rPr>
                  <w:color w:val="1155CC"/>
                  <w:highlight w:val="yellow"/>
                  <w:u w:val="single"/>
                </w:rPr>
                <w:t>L.6.2a: (2 of 3) Dash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highlight w:val="yellow"/>
              </w:rPr>
              <w:t>*</w:t>
            </w:r>
            <w:hyperlink r:id="rId17">
              <w:r>
                <w:rPr>
                  <w:color w:val="1155CC"/>
                  <w:highlight w:val="yellow"/>
                  <w:u w:val="single"/>
                </w:rPr>
                <w:t>L.6.2a:(3 of 3) Comma</w:t>
              </w:r>
            </w:hyperlink>
          </w:p>
        </w:tc>
        <w:tc>
          <w:tcPr>
            <w:tcW w:w="2715" w:type="dxa"/>
          </w:tcPr>
          <w:p w:rsidR="00633E9E" w:rsidRDefault="00E7487A">
            <w:pPr>
              <w:spacing w:after="0" w:line="240" w:lineRule="auto"/>
            </w:pPr>
            <w:r>
              <w:rPr>
                <w:highlight w:val="cyan"/>
              </w:rPr>
              <w:t xml:space="preserve">  *L.6.1e: Expression in Conventional Language</w:t>
            </w:r>
          </w:p>
          <w:p w:rsidR="00633E9E" w:rsidRDefault="00E7487A">
            <w:pPr>
              <w:spacing w:after="0" w:line="240" w:lineRule="auto"/>
            </w:pPr>
            <w:r>
              <w:t>(mini lesson to be posted before 7-1-15)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hyperlink r:id="rId18">
              <w:r>
                <w:rPr>
                  <w:color w:val="1155CC"/>
                  <w:u w:val="single"/>
                  <w:shd w:val="clear" w:color="auto" w:fill="B6D7A8"/>
                </w:rPr>
                <w:t>L.6.1a Pronoun Case (Possessive)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FCE5CD"/>
              </w:rPr>
              <w:t>*</w:t>
            </w:r>
            <w:hyperlink r:id="rId19">
              <w:r>
                <w:rPr>
                  <w:color w:val="1155CC"/>
                  <w:u w:val="single"/>
                  <w:shd w:val="clear" w:color="auto" w:fill="FCE5CD"/>
                </w:rPr>
                <w:t>L.6.3a: Sentence Variation</w:t>
              </w:r>
            </w:hyperlink>
          </w:p>
          <w:p w:rsidR="00633E9E" w:rsidRDefault="00633E9E">
            <w:pPr>
              <w:spacing w:after="0" w:line="240" w:lineRule="auto"/>
            </w:pPr>
          </w:p>
        </w:tc>
        <w:tc>
          <w:tcPr>
            <w:tcW w:w="2670" w:type="dxa"/>
          </w:tcPr>
          <w:p w:rsidR="00633E9E" w:rsidRDefault="00633E9E">
            <w:pPr>
              <w:spacing w:after="0" w:line="240" w:lineRule="auto"/>
            </w:pP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shd w:val="clear" w:color="auto" w:fill="EA9999"/>
              </w:rPr>
              <w:t>*</w:t>
            </w:r>
            <w:hyperlink r:id="rId20">
              <w:r>
                <w:rPr>
                  <w:color w:val="1155CC"/>
                  <w:u w:val="single"/>
                  <w:shd w:val="clear" w:color="auto" w:fill="EA9999"/>
                </w:rPr>
                <w:t xml:space="preserve">L.6.3b: Tone  </w:t>
              </w:r>
            </w:hyperlink>
          </w:p>
          <w:p w:rsidR="00633E9E" w:rsidRDefault="00633E9E">
            <w:pPr>
              <w:spacing w:after="0" w:line="240" w:lineRule="auto"/>
            </w:pPr>
          </w:p>
          <w:p w:rsidR="00633E9E" w:rsidRDefault="00633E9E">
            <w:pPr>
              <w:spacing w:after="0" w:line="240" w:lineRule="auto"/>
            </w:pPr>
          </w:p>
        </w:tc>
        <w:tc>
          <w:tcPr>
            <w:tcW w:w="2865" w:type="dxa"/>
          </w:tcPr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t>Revisit standards as needed in mini lessons, mid-workshop teaching points, or small strategy groups.</w:t>
            </w:r>
          </w:p>
        </w:tc>
      </w:tr>
    </w:tbl>
    <w:p w:rsidR="00633E9E" w:rsidRDefault="00E7487A">
      <w:hyperlink r:id="rId21">
        <w:r>
          <w:rPr>
            <w:b/>
            <w:color w:val="1155CC"/>
            <w:sz w:val="28"/>
            <w:szCs w:val="28"/>
            <w:u w:val="single"/>
          </w:rPr>
          <w:t>6th Grade Grammar Glossary</w:t>
        </w:r>
      </w:hyperlink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</w:rPr>
        <w:t>This</w:t>
      </w:r>
      <w:proofErr w:type="gramEnd"/>
      <w:r>
        <w:rPr>
          <w:rFonts w:ascii="Arial" w:eastAsia="Arial" w:hAnsi="Arial" w:cs="Arial"/>
        </w:rPr>
        <w:t xml:space="preserve"> is a reference document created by teachers for teachers. This glossary will support consistent teacher defin</w:t>
      </w:r>
      <w:r>
        <w:rPr>
          <w:rFonts w:ascii="Arial" w:eastAsia="Arial" w:hAnsi="Arial" w:cs="Arial"/>
        </w:rPr>
        <w:t xml:space="preserve">itions and usage of the grammar concepts from the standards. </w:t>
      </w:r>
    </w:p>
    <w:p w:rsidR="00633E9E" w:rsidRDefault="00633E9E"/>
    <w:p w:rsidR="00633E9E" w:rsidRDefault="00E7487A">
      <w:r>
        <w:rPr>
          <w:rFonts w:ascii="Arial" w:eastAsia="Arial" w:hAnsi="Arial" w:cs="Arial"/>
          <w:b/>
          <w:highlight w:val="white"/>
        </w:rPr>
        <w:t xml:space="preserve">Note: </w:t>
      </w:r>
      <w:r>
        <w:rPr>
          <w:rFonts w:ascii="Arial" w:eastAsia="Arial" w:hAnsi="Arial" w:cs="Arial"/>
          <w:highlight w:val="white"/>
        </w:rPr>
        <w:t xml:space="preserve"> The Michigan Language Standards acknowledge that several grammar skills introduced in elementary and middle school grades will need additional teaching in subsequent grades as students w</w:t>
      </w:r>
      <w:r>
        <w:rPr>
          <w:rFonts w:ascii="Arial" w:eastAsia="Arial" w:hAnsi="Arial" w:cs="Arial"/>
          <w:highlight w:val="white"/>
        </w:rPr>
        <w:t xml:space="preserve">ork with increasingly complex and sophisticated material. These standards are marked with an asterisk and are included in the Learning Progressions chart linked </w:t>
      </w:r>
      <w:hyperlink r:id="rId22">
        <w:r>
          <w:rPr>
            <w:rFonts w:ascii="Arial" w:eastAsia="Arial" w:hAnsi="Arial" w:cs="Arial"/>
            <w:color w:val="1155CC"/>
            <w:highlight w:val="white"/>
            <w:u w:val="single"/>
          </w:rPr>
          <w:t>her</w:t>
        </w:r>
        <w:r>
          <w:rPr>
            <w:rFonts w:ascii="Arial" w:eastAsia="Arial" w:hAnsi="Arial" w:cs="Arial"/>
            <w:color w:val="1155CC"/>
            <w:highlight w:val="white"/>
            <w:u w:val="single"/>
          </w:rPr>
          <w:t>e</w:t>
        </w:r>
      </w:hyperlink>
      <w:r>
        <w:rPr>
          <w:rFonts w:ascii="Arial" w:eastAsia="Arial" w:hAnsi="Arial" w:cs="Arial"/>
          <w:highlight w:val="white"/>
        </w:rPr>
        <w:t>.</w:t>
      </w:r>
    </w:p>
    <w:p w:rsidR="00633E9E" w:rsidRDefault="00633E9E"/>
    <w:p w:rsidR="00633E9E" w:rsidRDefault="00E7487A">
      <w:pPr>
        <w:widowControl w:val="0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Complete Text of the Grammar Standards Included in the 6th Grade Calendar</w:t>
      </w:r>
      <w:r>
        <w:rPr>
          <w:b/>
          <w:sz w:val="28"/>
          <w:szCs w:val="28"/>
        </w:rPr>
        <w:tab/>
      </w:r>
    </w:p>
    <w:p w:rsidR="00633E9E" w:rsidRDefault="00E7487A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3E9E" w:rsidRDefault="00E7487A">
      <w:r>
        <w:rPr>
          <w:rFonts w:ascii="Arial" w:eastAsia="Arial" w:hAnsi="Arial" w:cs="Arial"/>
        </w:rPr>
        <w:t xml:space="preserve">L.6.1 Demonstrate command of the conventions of </w:t>
      </w:r>
      <w:proofErr w:type="gramStart"/>
      <w:r>
        <w:rPr>
          <w:rFonts w:ascii="Arial" w:eastAsia="Arial" w:hAnsi="Arial" w:cs="Arial"/>
        </w:rPr>
        <w:t>standard</w:t>
      </w:r>
      <w:proofErr w:type="gramEnd"/>
      <w:r>
        <w:rPr>
          <w:rFonts w:ascii="Arial" w:eastAsia="Arial" w:hAnsi="Arial" w:cs="Arial"/>
        </w:rPr>
        <w:t xml:space="preserve"> English grammar and usage when writing or speaking.</w:t>
      </w:r>
    </w:p>
    <w:p w:rsidR="00633E9E" w:rsidRDefault="00E7487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Ensure that pronouns are in the proper case (subjective, objective, </w:t>
      </w:r>
      <w:proofErr w:type="gramStart"/>
      <w:r>
        <w:rPr>
          <w:rFonts w:ascii="Arial" w:eastAsia="Arial" w:hAnsi="Arial" w:cs="Arial"/>
        </w:rPr>
        <w:t>possessive</w:t>
      </w:r>
      <w:proofErr w:type="gramEnd"/>
      <w:r>
        <w:rPr>
          <w:rFonts w:ascii="Arial" w:eastAsia="Arial" w:hAnsi="Arial" w:cs="Arial"/>
        </w:rPr>
        <w:t>).</w:t>
      </w:r>
    </w:p>
    <w:p w:rsidR="00633E9E" w:rsidRDefault="00E7487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Use intensive pronouns (e.g., myself, ourselves).</w:t>
      </w:r>
    </w:p>
    <w:p w:rsidR="00633E9E" w:rsidRDefault="00E7487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Recognize and correct inappropriate shifts in pronoun number and person.*</w:t>
      </w:r>
    </w:p>
    <w:p w:rsidR="00633E9E" w:rsidRDefault="00E7487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Recognize and correct vague pronouns (i.e., one</w:t>
      </w:r>
      <w:r>
        <w:rPr>
          <w:rFonts w:ascii="Arial" w:eastAsia="Arial" w:hAnsi="Arial" w:cs="Arial"/>
        </w:rPr>
        <w:t>s with unclear or ambiguous antecedents).*</w:t>
      </w:r>
    </w:p>
    <w:p w:rsidR="00633E9E" w:rsidRDefault="00E7487A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Recognize variations from </w:t>
      </w:r>
      <w:proofErr w:type="gramStart"/>
      <w:r>
        <w:rPr>
          <w:rFonts w:ascii="Arial" w:eastAsia="Arial" w:hAnsi="Arial" w:cs="Arial"/>
        </w:rPr>
        <w:t>standard</w:t>
      </w:r>
      <w:proofErr w:type="gramEnd"/>
      <w:r>
        <w:rPr>
          <w:rFonts w:ascii="Arial" w:eastAsia="Arial" w:hAnsi="Arial" w:cs="Arial"/>
        </w:rPr>
        <w:t xml:space="preserve"> English in their own and others’ writing and speaking, and identify and use strategies to improve expression in conventional language.*</w:t>
      </w:r>
    </w:p>
    <w:p w:rsidR="00633E9E" w:rsidRDefault="00E7487A">
      <w:r>
        <w:rPr>
          <w:rFonts w:ascii="Arial" w:eastAsia="Arial" w:hAnsi="Arial" w:cs="Arial"/>
        </w:rPr>
        <w:t>L.6.2 Demonstrate command of the conventi</w:t>
      </w:r>
      <w:r>
        <w:rPr>
          <w:rFonts w:ascii="Arial" w:eastAsia="Arial" w:hAnsi="Arial" w:cs="Arial"/>
        </w:rPr>
        <w:t xml:space="preserve">ons of </w:t>
      </w:r>
      <w:proofErr w:type="gramStart"/>
      <w:r>
        <w:rPr>
          <w:rFonts w:ascii="Arial" w:eastAsia="Arial" w:hAnsi="Arial" w:cs="Arial"/>
        </w:rPr>
        <w:t>standard</w:t>
      </w:r>
      <w:proofErr w:type="gramEnd"/>
      <w:r>
        <w:rPr>
          <w:rFonts w:ascii="Arial" w:eastAsia="Arial" w:hAnsi="Arial" w:cs="Arial"/>
        </w:rPr>
        <w:t xml:space="preserve"> English capitalization, punctuation, and spelling when writing.</w:t>
      </w:r>
    </w:p>
    <w:p w:rsidR="00633E9E" w:rsidRDefault="00E7487A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Use punctuation (commas, parentheses, dashes) to set off nonrestrictive/parenthetical elements.*</w:t>
      </w:r>
    </w:p>
    <w:p w:rsidR="00633E9E" w:rsidRDefault="00E7487A">
      <w:r>
        <w:rPr>
          <w:rFonts w:ascii="Arial" w:eastAsia="Arial" w:hAnsi="Arial" w:cs="Arial"/>
        </w:rPr>
        <w:t>L.6.3 Use knowledge of language and its conventions when writing, speaking, re</w:t>
      </w:r>
      <w:r>
        <w:rPr>
          <w:rFonts w:ascii="Arial" w:eastAsia="Arial" w:hAnsi="Arial" w:cs="Arial"/>
        </w:rPr>
        <w:t>ading, or listening.</w:t>
      </w:r>
    </w:p>
    <w:p w:rsidR="00633E9E" w:rsidRDefault="00E7487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Vary sentence patterns for meaning, reader/listener interest, and style.*</w:t>
      </w:r>
    </w:p>
    <w:p w:rsidR="00633E9E" w:rsidRDefault="00E7487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Maintain consistency in style and tone.*</w:t>
      </w:r>
    </w:p>
    <w:p w:rsidR="00633E9E" w:rsidRDefault="00633E9E"/>
    <w:p w:rsidR="00633E9E" w:rsidRDefault="00633E9E"/>
    <w:p w:rsidR="00633E9E" w:rsidRDefault="00633E9E"/>
    <w:p w:rsidR="00633E9E" w:rsidRDefault="00633E9E"/>
    <w:tbl>
      <w:tblPr>
        <w:tblStyle w:val="a0"/>
        <w:tblW w:w="14010" w:type="dxa"/>
        <w:tblLayout w:type="fixed"/>
        <w:tblLook w:val="0600" w:firstRow="0" w:lastRow="0" w:firstColumn="0" w:lastColumn="0" w:noHBand="1" w:noVBand="1"/>
      </w:tblPr>
      <w:tblGrid>
        <w:gridCol w:w="14010"/>
      </w:tblGrid>
      <w:tr w:rsidR="00633E9E">
        <w:tc>
          <w:tcPr>
            <w:tcW w:w="1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9E" w:rsidRDefault="00E7487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Standards </w:t>
            </w:r>
            <w:r>
              <w:rPr>
                <w:rFonts w:ascii="Arial" w:eastAsia="Arial" w:hAnsi="Arial" w:cs="Arial"/>
                <w:b/>
                <w:u w:val="single"/>
              </w:rPr>
              <w:t>not</w:t>
            </w:r>
            <w:r>
              <w:rPr>
                <w:rFonts w:ascii="Arial" w:eastAsia="Arial" w:hAnsi="Arial" w:cs="Arial"/>
                <w:b/>
              </w:rPr>
              <w:t xml:space="preserve"> covered in the Curriculum Calendar for Grammar Across the Writing Process: 6th Grade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DISCLAIMER- the calendar designed above addresses the sixth grade language standards that naturally fit into the writing process and/or the MAISA writing units. There are additional language standards that will need to be addressed through additional writi</w:t>
            </w:r>
            <w:r>
              <w:rPr>
                <w:rFonts w:ascii="Arial" w:eastAsia="Arial" w:hAnsi="Arial" w:cs="Arial"/>
                <w:b/>
                <w:i/>
              </w:rPr>
              <w:t>ng activities, word study and/or reading instruction.</w:t>
            </w:r>
          </w:p>
          <w:p w:rsidR="00633E9E" w:rsidRDefault="00633E9E"/>
          <w:p w:rsidR="00633E9E" w:rsidRDefault="00E7487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Example: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L.6.2.B  Spell</w:t>
            </w:r>
            <w:proofErr w:type="gramEnd"/>
            <w:r>
              <w:rPr>
                <w:rFonts w:ascii="Arial" w:eastAsia="Arial" w:hAnsi="Arial" w:cs="Arial"/>
              </w:rPr>
              <w:t xml:space="preserve"> correctly.</w:t>
            </w:r>
          </w:p>
          <w:p w:rsidR="00633E9E" w:rsidRDefault="00E7487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Additional standards not addressed :  </w:t>
            </w:r>
          </w:p>
          <w:p w:rsidR="00633E9E" w:rsidRDefault="00633E9E">
            <w:pPr>
              <w:spacing w:after="0" w:line="240" w:lineRule="auto"/>
            </w:pPr>
          </w:p>
          <w:p w:rsidR="00633E9E" w:rsidRDefault="00E7487A">
            <w:proofErr w:type="gramStart"/>
            <w:r>
              <w:rPr>
                <w:rFonts w:ascii="Arial" w:eastAsia="Arial" w:hAnsi="Arial" w:cs="Arial"/>
              </w:rPr>
              <w:t>L.6.4.A  Use</w:t>
            </w:r>
            <w:proofErr w:type="gramEnd"/>
            <w:r>
              <w:rPr>
                <w:rFonts w:ascii="Arial" w:eastAsia="Arial" w:hAnsi="Arial" w:cs="Arial"/>
              </w:rPr>
              <w:t xml:space="preserve"> common, grade-appropriate Greek or Latin affixes and roots as clues to the meaning of a word (e.g., audience, au</w:t>
            </w:r>
            <w:r>
              <w:rPr>
                <w:rFonts w:ascii="Arial" w:eastAsia="Arial" w:hAnsi="Arial" w:cs="Arial"/>
              </w:rPr>
              <w:t>ditory, audible).</w:t>
            </w:r>
          </w:p>
          <w:p w:rsidR="00633E9E" w:rsidRDefault="00E7487A">
            <w:proofErr w:type="gramStart"/>
            <w:r>
              <w:rPr>
                <w:rFonts w:ascii="Arial" w:eastAsia="Arial" w:hAnsi="Arial" w:cs="Arial"/>
              </w:rPr>
              <w:t>L.6.4.B  Consult</w:t>
            </w:r>
            <w:proofErr w:type="gramEnd"/>
            <w:r>
              <w:rPr>
                <w:rFonts w:ascii="Arial" w:eastAsia="Arial" w:hAnsi="Arial" w:cs="Arial"/>
              </w:rPr>
              <w:t xml:space="preserve"> reference materials (e.g., dictionaries, glossaries, thesauruses), both print and digital, to find the pronunciation of a word or determine or clarify its precise meaning or its part of speech.</w:t>
            </w:r>
          </w:p>
          <w:p w:rsidR="00633E9E" w:rsidRDefault="00E7487A">
            <w:proofErr w:type="gramStart"/>
            <w:r>
              <w:rPr>
                <w:rFonts w:ascii="Arial" w:eastAsia="Arial" w:hAnsi="Arial" w:cs="Arial"/>
              </w:rPr>
              <w:t>L.6.4.C  Verify</w:t>
            </w:r>
            <w:proofErr w:type="gramEnd"/>
            <w:r>
              <w:rPr>
                <w:rFonts w:ascii="Arial" w:eastAsia="Arial" w:hAnsi="Arial" w:cs="Arial"/>
              </w:rPr>
              <w:t xml:space="preserve"> the prelimi</w:t>
            </w:r>
            <w:r>
              <w:rPr>
                <w:rFonts w:ascii="Arial" w:eastAsia="Arial" w:hAnsi="Arial" w:cs="Arial"/>
              </w:rPr>
              <w:t>nary determination of the meaning of a word or phrase (e.g., by checking the inferred meaning in context or in a dictionary).</w:t>
            </w:r>
          </w:p>
          <w:p w:rsidR="00633E9E" w:rsidRDefault="00E7487A">
            <w:proofErr w:type="gramStart"/>
            <w:r>
              <w:rPr>
                <w:rFonts w:ascii="Arial" w:eastAsia="Arial" w:hAnsi="Arial" w:cs="Arial"/>
              </w:rPr>
              <w:t>L.6.5.A  Interpret</w:t>
            </w:r>
            <w:proofErr w:type="gramEnd"/>
            <w:r>
              <w:rPr>
                <w:rFonts w:ascii="Arial" w:eastAsia="Arial" w:hAnsi="Arial" w:cs="Arial"/>
              </w:rPr>
              <w:t xml:space="preserve"> figures of speech (e.g., personification) in context.</w:t>
            </w:r>
          </w:p>
          <w:p w:rsidR="00633E9E" w:rsidRDefault="00E7487A">
            <w:proofErr w:type="gramStart"/>
            <w:r>
              <w:rPr>
                <w:rFonts w:ascii="Arial" w:eastAsia="Arial" w:hAnsi="Arial" w:cs="Arial"/>
              </w:rPr>
              <w:t>L.6.5.B  Use</w:t>
            </w:r>
            <w:proofErr w:type="gramEnd"/>
            <w:r>
              <w:rPr>
                <w:rFonts w:ascii="Arial" w:eastAsia="Arial" w:hAnsi="Arial" w:cs="Arial"/>
              </w:rPr>
              <w:t xml:space="preserve"> the relationship between particular words (e</w:t>
            </w:r>
            <w:r>
              <w:rPr>
                <w:rFonts w:ascii="Arial" w:eastAsia="Arial" w:hAnsi="Arial" w:cs="Arial"/>
              </w:rPr>
              <w:t>.g., cause/effect, part/whole, item/category) to better understand each of the words.</w:t>
            </w:r>
          </w:p>
          <w:p w:rsidR="00633E9E" w:rsidRDefault="00E7487A">
            <w:proofErr w:type="gramStart"/>
            <w:r>
              <w:rPr>
                <w:rFonts w:ascii="Arial" w:eastAsia="Arial" w:hAnsi="Arial" w:cs="Arial"/>
              </w:rPr>
              <w:t>L.6.5.C  Distinguish</w:t>
            </w:r>
            <w:proofErr w:type="gramEnd"/>
            <w:r>
              <w:rPr>
                <w:rFonts w:ascii="Arial" w:eastAsia="Arial" w:hAnsi="Arial" w:cs="Arial"/>
              </w:rPr>
              <w:t xml:space="preserve"> among the connotations (associations of words with similar denotations (definitions) (e.g., stingy, scrimping, economical, </w:t>
            </w:r>
            <w:proofErr w:type="spellStart"/>
            <w:r>
              <w:rPr>
                <w:rFonts w:ascii="Arial" w:eastAsia="Arial" w:hAnsi="Arial" w:cs="Arial"/>
              </w:rPr>
              <w:t>unwasteful</w:t>
            </w:r>
            <w:proofErr w:type="spellEnd"/>
            <w:r>
              <w:rPr>
                <w:rFonts w:ascii="Arial" w:eastAsia="Arial" w:hAnsi="Arial" w:cs="Arial"/>
              </w:rPr>
              <w:t>, thrifty).</w:t>
            </w:r>
          </w:p>
          <w:p w:rsidR="00633E9E" w:rsidRDefault="00E7487A">
            <w:r>
              <w:rPr>
                <w:rFonts w:ascii="Arial" w:eastAsia="Arial" w:hAnsi="Arial" w:cs="Arial"/>
              </w:rPr>
              <w:t>L.6.6 Acquire and use accurately grade-appropriate general academic and domain-specific words and phrases; gather vocabulary knowledge when considering a word or phrase important to comprehension or expression.</w:t>
            </w:r>
          </w:p>
          <w:p w:rsidR="00633E9E" w:rsidRDefault="00633E9E"/>
        </w:tc>
      </w:tr>
    </w:tbl>
    <w:p w:rsidR="00633E9E" w:rsidRDefault="00633E9E"/>
    <w:p w:rsidR="00633E9E" w:rsidRDefault="00633E9E"/>
    <w:sectPr w:rsidR="00633E9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2E"/>
    <w:multiLevelType w:val="multilevel"/>
    <w:tmpl w:val="3C0860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D63392B"/>
    <w:multiLevelType w:val="multilevel"/>
    <w:tmpl w:val="D5B4F5F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D9103B5"/>
    <w:multiLevelType w:val="multilevel"/>
    <w:tmpl w:val="B9464E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3E9E"/>
    <w:rsid w:val="00633E9E"/>
    <w:rsid w:val="00E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CXG8ZxH4oj1ZGaC7iC91r78SH9j6IqnToo3pPYHvNI/edit" TargetMode="External"/><Relationship Id="rId13" Type="http://schemas.openxmlformats.org/officeDocument/2006/relationships/hyperlink" Target="https://docs.google.com/document/d/1YkYznuRvxi0AQIF11WrStUH21pigrSSSuRhE6OR6mAk/edit" TargetMode="External"/><Relationship Id="rId18" Type="http://schemas.openxmlformats.org/officeDocument/2006/relationships/hyperlink" Target="https://docs.google.com/document/d/1dROgqiaIZ_0616tjqPcQ8d7A_l4czSPgxBktzLRHM94/ed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yi_n_E1hGzkbmn-bkETXTA9kEJ1-V0a9ajQ0i5yxT78/edit?usp=sharing" TargetMode="External"/><Relationship Id="rId7" Type="http://schemas.openxmlformats.org/officeDocument/2006/relationships/hyperlink" Target="https://docs.google.com/document/d/12HgGeq9jzWYtEfVWftN9d7rwx_QxTOMwEG8L4DjEAGY/edit" TargetMode="External"/><Relationship Id="rId12" Type="http://schemas.openxmlformats.org/officeDocument/2006/relationships/hyperlink" Target="https://docs.google.com/document/d/1YkYznuRvxi0AQIF11WrStUH21pigrSSSuRhE6OR6mAk/edit" TargetMode="External"/><Relationship Id="rId17" Type="http://schemas.openxmlformats.org/officeDocument/2006/relationships/hyperlink" Target="https://docs.google.com/document/d/1XSboD8zvgNhHn4fwqFzNIAS8YQvMhYR4v7gaO7GumJg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x0BQYuPVYJXzJHPT5jmb0Dwmr-iBtv2NZ1GDpqc3zNE/edit" TargetMode="External"/><Relationship Id="rId20" Type="http://schemas.openxmlformats.org/officeDocument/2006/relationships/hyperlink" Target="https://docs.google.com/document/d/10U8TEz9q9ydb7bacbkmJZeFC0fdNFguCV3XjNpV9XuQ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uw9Rc0BL4qV2QU5A6cRk_ez3AVYAp2ZV0iOqIOD_o8/edit" TargetMode="External"/><Relationship Id="rId11" Type="http://schemas.openxmlformats.org/officeDocument/2006/relationships/hyperlink" Target="https://docs.google.com/document/d/1Igo3PmQOv0MEbOwSzle47AeAz6WPa4nXBrfN4y9lMgM/ed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YhwdajtmrK3LBVjFoDSaPNRhdub6_EsD5eL6WhRN4sE/ed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AGKX6KTD7j7D5hC-YztaHhbW3uYuejEQiTyhE91pY08/edit" TargetMode="External"/><Relationship Id="rId19" Type="http://schemas.openxmlformats.org/officeDocument/2006/relationships/hyperlink" Target="https://docs.google.com/document/d/14O8wBHIEfeqqq-envgMZgfirXNdFzovxkuPJ98Q8HZE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mJtc2eKCNMUPvpob8VYK5_tynEZurCjNSsPTiRJ4m1M/edit" TargetMode="External"/><Relationship Id="rId14" Type="http://schemas.openxmlformats.org/officeDocument/2006/relationships/hyperlink" Target="https://docs.google.com/document/d/1YkYznuRvxi0AQIF11WrStUH21pigrSSSuRhE6OR6mAk/edit" TargetMode="External"/><Relationship Id="rId22" Type="http://schemas.openxmlformats.org/officeDocument/2006/relationships/hyperlink" Target="https://drive.google.com/open?id=0B_8mGCbC6qthM2lhY2JfVUpMaVk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Noble</dc:creator>
  <cp:lastModifiedBy>Kim Noble</cp:lastModifiedBy>
  <cp:revision>2</cp:revision>
  <dcterms:created xsi:type="dcterms:W3CDTF">2015-11-19T17:14:00Z</dcterms:created>
  <dcterms:modified xsi:type="dcterms:W3CDTF">2015-11-19T17:14:00Z</dcterms:modified>
</cp:coreProperties>
</file>