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7EF" w:rsidRDefault="008C0E5D">
      <w:bookmarkStart w:id="0" w:name="h.gjdgxs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Glossary of Elements from the CCSS Language Standards</w:t>
      </w:r>
    </w:p>
    <w:p w:rsidR="009227EF" w:rsidRDefault="009227EF"/>
    <w:p w:rsidR="009227EF" w:rsidRDefault="008C0E5D">
      <w:pPr>
        <w:jc w:val="center"/>
      </w:pPr>
      <w:r>
        <w:rPr>
          <w:sz w:val="20"/>
          <w:szCs w:val="20"/>
        </w:rPr>
        <w:t>Conventions of Standard English</w:t>
      </w:r>
    </w:p>
    <w:p w:rsidR="009227EF" w:rsidRDefault="009227EF"/>
    <w:p w:rsidR="009227EF" w:rsidRDefault="008C0E5D">
      <w:proofErr w:type="gramStart"/>
      <w:r>
        <w:rPr>
          <w:b/>
          <w:sz w:val="20"/>
          <w:szCs w:val="20"/>
        </w:rPr>
        <w:t>Standard</w:t>
      </w:r>
      <w:r>
        <w:rPr>
          <w:sz w:val="20"/>
          <w:szCs w:val="20"/>
        </w:rPr>
        <w:t xml:space="preserve"> (L.6.1) – Demonstrate command of the conventions of Standard English grammar and usage when writing or speaking.</w:t>
      </w:r>
      <w:proofErr w:type="gramEnd"/>
    </w:p>
    <w:p w:rsidR="009227EF" w:rsidRDefault="009227EF"/>
    <w:p w:rsidR="009227EF" w:rsidRDefault="008C0E5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Ensure that pronouns are in the proper case. (</w:t>
      </w:r>
      <w:proofErr w:type="gramStart"/>
      <w:r>
        <w:rPr>
          <w:sz w:val="20"/>
          <w:szCs w:val="20"/>
        </w:rPr>
        <w:t>subjective</w:t>
      </w:r>
      <w:proofErr w:type="gramEnd"/>
      <w:r>
        <w:rPr>
          <w:sz w:val="20"/>
          <w:szCs w:val="20"/>
        </w:rPr>
        <w:t>, objective, possessive).</w:t>
      </w:r>
    </w:p>
    <w:p w:rsidR="009227EF" w:rsidRDefault="009227EF"/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135"/>
        <w:gridCol w:w="2805"/>
        <w:gridCol w:w="1605"/>
      </w:tblGrid>
      <w:tr w:rsidR="009227EF">
        <w:tc>
          <w:tcPr>
            <w:tcW w:w="166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Name</w:t>
            </w:r>
          </w:p>
        </w:tc>
        <w:tc>
          <w:tcPr>
            <w:tcW w:w="313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Definition</w:t>
            </w:r>
          </w:p>
        </w:tc>
        <w:tc>
          <w:tcPr>
            <w:tcW w:w="280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Examples</w:t>
            </w:r>
          </w:p>
        </w:tc>
        <w:tc>
          <w:tcPr>
            <w:tcW w:w="160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Resource(s)</w:t>
            </w:r>
          </w:p>
        </w:tc>
      </w:tr>
      <w:tr w:rsidR="009227EF">
        <w:tc>
          <w:tcPr>
            <w:tcW w:w="166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Pronouns</w:t>
            </w:r>
          </w:p>
        </w:tc>
        <w:tc>
          <w:tcPr>
            <w:tcW w:w="31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Pronouns can replace a noun or another pronoun. You use pronouns to make your sentences less cumbersome and less repetitive.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Student-friendly language: A word used to take the place of a noun and make your sentences less repetitive.</w:t>
            </w:r>
          </w:p>
        </w:tc>
        <w:tc>
          <w:tcPr>
            <w:tcW w:w="28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I, me, we, us, you, she, he, it, him, her, they, them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1605" w:type="dxa"/>
          </w:tcPr>
          <w:p w:rsidR="009227EF" w:rsidRDefault="008C0E5D">
            <w:pPr>
              <w:contextualSpacing w:val="0"/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www.writingcentre.uottowa.ca</w:t>
              </w:r>
            </w:hyperlink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PBS Kids video</w:t>
              </w:r>
            </w:hyperlink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Grammar Rock: Pronouns</w:t>
              </w:r>
            </w:hyperlink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166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Subjective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31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Pronouns used as a subject 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Student-friendly language:  Pronouns used as a subject, or renaming </w:t>
            </w:r>
            <w:r>
              <w:rPr>
                <w:sz w:val="20"/>
                <w:szCs w:val="20"/>
              </w:rPr>
              <w:t>the subject.</w:t>
            </w:r>
          </w:p>
        </w:tc>
        <w:tc>
          <w:tcPr>
            <w:tcW w:w="28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I, you, he, she, it, we, they, who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wrote the letter?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Jane went to the store because </w:t>
            </w:r>
            <w:r>
              <w:rPr>
                <w:b/>
                <w:sz w:val="20"/>
                <w:szCs w:val="20"/>
              </w:rPr>
              <w:t>she</w:t>
            </w:r>
            <w:r>
              <w:rPr>
                <w:sz w:val="20"/>
                <w:szCs w:val="20"/>
              </w:rPr>
              <w:t xml:space="preserve"> forgot eggs.</w:t>
            </w:r>
          </w:p>
        </w:tc>
        <w:tc>
          <w:tcPr>
            <w:tcW w:w="16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</w:tc>
      </w:tr>
      <w:tr w:rsidR="009227EF">
        <w:tc>
          <w:tcPr>
            <w:tcW w:w="166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Objective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31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Pronouns used as objects of verbs or prepositions</w:t>
            </w:r>
          </w:p>
        </w:tc>
        <w:tc>
          <w:tcPr>
            <w:tcW w:w="28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Me, you, him, her, it, us, them, whom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Whom</w:t>
            </w:r>
            <w:r>
              <w:rPr>
                <w:sz w:val="20"/>
                <w:szCs w:val="20"/>
              </w:rPr>
              <w:t xml:space="preserve"> should I vote for?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For </w:t>
            </w:r>
            <w:r>
              <w:rPr>
                <w:b/>
                <w:sz w:val="20"/>
                <w:szCs w:val="20"/>
              </w:rPr>
              <w:t>whom</w:t>
            </w:r>
            <w:r>
              <w:rPr>
                <w:sz w:val="20"/>
                <w:szCs w:val="20"/>
              </w:rPr>
              <w:t xml:space="preserve"> should I vote?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Resource: </w:t>
            </w:r>
          </w:p>
          <w:p w:rsidR="009227EF" w:rsidRDefault="008C0E5D">
            <w:pPr>
              <w:contextualSpacing w:val="0"/>
            </w:pPr>
            <w:hyperlink r:id="rId9">
              <w:r>
                <w:rPr>
                  <w:b/>
                  <w:i/>
                  <w:color w:val="1155CC"/>
                  <w:sz w:val="20"/>
                  <w:szCs w:val="20"/>
                  <w:highlight w:val="white"/>
                  <w:u w:val="single"/>
                </w:rPr>
                <w:t>Who vs. Whom Rule</w:t>
              </w:r>
            </w:hyperlink>
          </w:p>
          <w:p w:rsidR="009227EF" w:rsidRDefault="009227EF">
            <w:pPr>
              <w:contextualSpacing w:val="0"/>
            </w:pPr>
          </w:p>
        </w:tc>
        <w:tc>
          <w:tcPr>
            <w:tcW w:w="16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</w:tc>
      </w:tr>
      <w:tr w:rsidR="009227EF">
        <w:tc>
          <w:tcPr>
            <w:tcW w:w="166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Possessive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31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Pronouns which express ownership.</w:t>
            </w:r>
          </w:p>
        </w:tc>
        <w:tc>
          <w:tcPr>
            <w:tcW w:w="28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My (mine), Your (yours), </w:t>
            </w:r>
            <w:proofErr w:type="spellStart"/>
            <w:r>
              <w:rPr>
                <w:sz w:val="20"/>
                <w:szCs w:val="20"/>
              </w:rPr>
              <w:t>His/Her</w:t>
            </w:r>
            <w:proofErr w:type="spellEnd"/>
            <w:r>
              <w:rPr>
                <w:sz w:val="20"/>
                <w:szCs w:val="20"/>
              </w:rPr>
              <w:t xml:space="preserve"> (hers), It (its), Our (ours), Their (theirs), Whose</w:t>
            </w:r>
          </w:p>
        </w:tc>
        <w:tc>
          <w:tcPr>
            <w:tcW w:w="16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intensive pronouns</w:t>
      </w:r>
    </w:p>
    <w:p w:rsidR="009227EF" w:rsidRDefault="009227EF"/>
    <w:tbl>
      <w:tblPr>
        <w:tblStyle w:val="a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685"/>
        <w:gridCol w:w="2820"/>
        <w:gridCol w:w="1605"/>
      </w:tblGrid>
      <w:tr w:rsidR="009227EF">
        <w:tc>
          <w:tcPr>
            <w:tcW w:w="2070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Name</w:t>
            </w:r>
          </w:p>
        </w:tc>
        <w:tc>
          <w:tcPr>
            <w:tcW w:w="268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Definition</w:t>
            </w:r>
          </w:p>
        </w:tc>
        <w:tc>
          <w:tcPr>
            <w:tcW w:w="2820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Examples</w:t>
            </w:r>
          </w:p>
        </w:tc>
        <w:tc>
          <w:tcPr>
            <w:tcW w:w="160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Resource(s)</w:t>
            </w:r>
          </w:p>
        </w:tc>
      </w:tr>
      <w:tr w:rsidR="009227EF">
        <w:tc>
          <w:tcPr>
            <w:tcW w:w="2070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Intensive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68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A pronoun used to emphasize its antecedent.  Intensive pronouns are identical to reflexive pronouns.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Student-friendly language: A </w:t>
            </w:r>
            <w:r>
              <w:rPr>
                <w:sz w:val="20"/>
                <w:szCs w:val="20"/>
              </w:rPr>
              <w:lastRenderedPageBreak/>
              <w:t>pronoun that intensifies the antecedent (subject).</w:t>
            </w:r>
          </w:p>
        </w:tc>
        <w:tc>
          <w:tcPr>
            <w:tcW w:w="282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lastRenderedPageBreak/>
              <w:t xml:space="preserve">I </w:t>
            </w:r>
            <w:r>
              <w:rPr>
                <w:b/>
                <w:sz w:val="20"/>
                <w:szCs w:val="20"/>
              </w:rPr>
              <w:t>myself</w:t>
            </w:r>
            <w:r>
              <w:rPr>
                <w:sz w:val="20"/>
                <w:szCs w:val="20"/>
              </w:rPr>
              <w:t xml:space="preserve"> believe that aliens should abduct my sister.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 president atten</w:t>
            </w:r>
            <w:r>
              <w:rPr>
                <w:sz w:val="20"/>
                <w:szCs w:val="20"/>
              </w:rPr>
              <w:t xml:space="preserve">ded the rally </w:t>
            </w:r>
            <w:r>
              <w:rPr>
                <w:b/>
                <w:sz w:val="20"/>
                <w:szCs w:val="20"/>
              </w:rPr>
              <w:t>himself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www.writingcentre.uottawa.ca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Recognize and correct inappropriate shifts in pronoun number, and person.</w:t>
      </w:r>
    </w:p>
    <w:p w:rsidR="009227EF" w:rsidRDefault="009227EF"/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955"/>
        <w:gridCol w:w="2955"/>
        <w:gridCol w:w="1545"/>
      </w:tblGrid>
      <w:tr w:rsidR="009227EF">
        <w:tc>
          <w:tcPr>
            <w:tcW w:w="172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Name</w:t>
            </w:r>
          </w:p>
        </w:tc>
        <w:tc>
          <w:tcPr>
            <w:tcW w:w="295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Definition</w:t>
            </w:r>
          </w:p>
        </w:tc>
        <w:tc>
          <w:tcPr>
            <w:tcW w:w="295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Examples</w:t>
            </w:r>
          </w:p>
        </w:tc>
        <w:tc>
          <w:tcPr>
            <w:tcW w:w="1545" w:type="dxa"/>
            <w:shd w:val="clear" w:color="auto" w:fill="B7B7B7"/>
          </w:tcPr>
          <w:p w:rsidR="009227EF" w:rsidRDefault="008C0E5D">
            <w:pPr>
              <w:contextualSpacing w:val="0"/>
            </w:pPr>
            <w:r>
              <w:t>Resource(s)</w:t>
            </w:r>
          </w:p>
        </w:tc>
      </w:tr>
      <w:tr w:rsidR="009227EF">
        <w:tc>
          <w:tcPr>
            <w:tcW w:w="172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Pronoun Number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9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Pronouns should agree in number.  If the pronoun takes the place of a singular noun, use a singular pronoun.  </w:t>
            </w:r>
          </w:p>
        </w:tc>
        <w:tc>
          <w:tcPr>
            <w:tcW w:w="29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If </w:t>
            </w:r>
            <w:r>
              <w:rPr>
                <w:b/>
                <w:sz w:val="20"/>
                <w:szCs w:val="20"/>
              </w:rPr>
              <w:t>a student</w:t>
            </w:r>
            <w:r>
              <w:rPr>
                <w:sz w:val="20"/>
                <w:szCs w:val="20"/>
              </w:rPr>
              <w:t xml:space="preserve"> parks a car on campus,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he or she</w:t>
            </w:r>
            <w:r>
              <w:rPr>
                <w:sz w:val="20"/>
                <w:szCs w:val="20"/>
              </w:rPr>
              <w:t xml:space="preserve"> has to buy a parking sticker.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If </w:t>
            </w:r>
            <w:r>
              <w:rPr>
                <w:b/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park a car on campus, </w:t>
            </w:r>
            <w:r>
              <w:rPr>
                <w:b/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have to buy a parking sticker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 Purdue OWL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Recognize and correct vague pronouns (ones with unclear or ambiguous antecedents).</w:t>
      </w:r>
    </w:p>
    <w:p w:rsidR="009227EF" w:rsidRDefault="009227EF"/>
    <w:tbl>
      <w:tblPr>
        <w:tblStyle w:val="a2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85"/>
        <w:gridCol w:w="2880"/>
        <w:gridCol w:w="1545"/>
      </w:tblGrid>
      <w:tr w:rsidR="009227EF">
        <w:tc>
          <w:tcPr>
            <w:tcW w:w="21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68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8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545" w:type="dxa"/>
          </w:tcPr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211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Ambiguous/Vague Pronoun</w:t>
            </w:r>
          </w:p>
          <w:p w:rsidR="009227EF" w:rsidRDefault="009227EF">
            <w:pPr>
              <w:contextualSpacing w:val="0"/>
            </w:pPr>
          </w:p>
        </w:tc>
        <w:tc>
          <w:tcPr>
            <w:tcW w:w="268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Pronouns with unclear or missing antecedent.</w:t>
            </w:r>
          </w:p>
        </w:tc>
        <w:tc>
          <w:tcPr>
            <w:tcW w:w="28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Fred visited Bob after </w:t>
            </w:r>
            <w:r>
              <w:rPr>
                <w:b/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 xml:space="preserve"> graduation.</w:t>
            </w:r>
          </w:p>
          <w:p w:rsidR="009227EF" w:rsidRDefault="008C0E5D">
            <w:pPr>
              <w:contextualSpacing w:val="0"/>
            </w:pPr>
            <w:r>
              <w:rPr>
                <w:i/>
                <w:sz w:val="20"/>
                <w:szCs w:val="20"/>
              </w:rPr>
              <w:t>Who graduated?</w:t>
            </w:r>
          </w:p>
          <w:p w:rsidR="009227EF" w:rsidRDefault="009227EF">
            <w:pPr>
              <w:contextualSpacing w:val="0"/>
            </w:pPr>
          </w:p>
        </w:tc>
        <w:tc>
          <w:tcPr>
            <w:tcW w:w="154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 Purdue OWL</w:t>
            </w:r>
          </w:p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211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Antecedent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68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 noun that is replaced by the pronoun.</w:t>
            </w:r>
          </w:p>
        </w:tc>
        <w:tc>
          <w:tcPr>
            <w:tcW w:w="28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Jenny lost her </w:t>
            </w:r>
            <w:r>
              <w:rPr>
                <w:b/>
                <w:sz w:val="20"/>
                <w:szCs w:val="20"/>
              </w:rPr>
              <w:t>keys</w:t>
            </w:r>
            <w:r>
              <w:rPr>
                <w:sz w:val="20"/>
                <w:szCs w:val="20"/>
              </w:rPr>
              <w:t xml:space="preserve">. Seth helped find </w:t>
            </w:r>
            <w:r>
              <w:rPr>
                <w:b/>
                <w:sz w:val="20"/>
                <w:szCs w:val="20"/>
              </w:rPr>
              <w:t>them</w:t>
            </w:r>
            <w:r>
              <w:rPr>
                <w:sz w:val="20"/>
                <w:szCs w:val="20"/>
              </w:rPr>
              <w:t>.</w:t>
            </w:r>
          </w:p>
          <w:p w:rsidR="009227EF" w:rsidRDefault="008C0E5D">
            <w:pPr>
              <w:contextualSpacing w:val="0"/>
            </w:pPr>
            <w:proofErr w:type="gramStart"/>
            <w:r>
              <w:rPr>
                <w:i/>
                <w:sz w:val="20"/>
                <w:szCs w:val="20"/>
              </w:rPr>
              <w:t>Keys is</w:t>
            </w:r>
            <w:proofErr w:type="gramEnd"/>
            <w:r>
              <w:rPr>
                <w:i/>
                <w:sz w:val="20"/>
                <w:szCs w:val="20"/>
              </w:rPr>
              <w:t xml:space="preserve"> the antecedent. </w:t>
            </w:r>
            <w:proofErr w:type="gramStart"/>
            <w:r>
              <w:rPr>
                <w:i/>
                <w:sz w:val="20"/>
                <w:szCs w:val="20"/>
              </w:rPr>
              <w:t>Them</w:t>
            </w:r>
            <w:proofErr w:type="gramEnd"/>
            <w:r>
              <w:rPr>
                <w:i/>
                <w:sz w:val="20"/>
                <w:szCs w:val="20"/>
              </w:rPr>
              <w:t xml:space="preserve"> is the pronoun.</w:t>
            </w:r>
          </w:p>
          <w:p w:rsidR="009227EF" w:rsidRDefault="009227EF">
            <w:pPr>
              <w:contextualSpacing w:val="0"/>
            </w:pPr>
          </w:p>
        </w:tc>
        <w:tc>
          <w:tcPr>
            <w:tcW w:w="154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  <w:p w:rsidR="009227EF" w:rsidRDefault="009227EF">
            <w:pPr>
              <w:contextualSpacing w:val="0"/>
            </w:pPr>
          </w:p>
        </w:tc>
      </w:tr>
    </w:tbl>
    <w:p w:rsidR="009227EF" w:rsidRDefault="009227EF"/>
    <w:p w:rsidR="009227EF" w:rsidRDefault="008C0E5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Recognize variations from Standard English in their own and others’ writing and speaking, and identify and use strategies to improve expression in conventional language.</w:t>
      </w:r>
    </w:p>
    <w:p w:rsidR="009227EF" w:rsidRDefault="009227EF">
      <w:pPr>
        <w:ind w:left="720"/>
      </w:pPr>
    </w:p>
    <w:tbl>
      <w:tblPr>
        <w:tblStyle w:val="a3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45"/>
        <w:gridCol w:w="2820"/>
        <w:gridCol w:w="1515"/>
      </w:tblGrid>
      <w:tr w:rsidR="009227EF">
        <w:tc>
          <w:tcPr>
            <w:tcW w:w="216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4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82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515" w:type="dxa"/>
          </w:tcPr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2160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Standard English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45" w:type="dxa"/>
          </w:tcPr>
          <w:p w:rsidR="009227EF" w:rsidRDefault="008C0E5D">
            <w:pPr>
              <w:spacing w:line="288" w:lineRule="auto"/>
              <w:contextualSpacing w:val="0"/>
            </w:pPr>
            <w:r>
              <w:rPr>
                <w:color w:val="222222"/>
                <w:sz w:val="20"/>
                <w:szCs w:val="20"/>
                <w:highlight w:val="white"/>
              </w:rPr>
              <w:t>The form of the English language widely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accepted as the usual correct form.</w:t>
            </w:r>
          </w:p>
          <w:p w:rsidR="009227EF" w:rsidRDefault="008C0E5D">
            <w:pPr>
              <w:spacing w:line="288" w:lineRule="auto"/>
              <w:contextualSpacing w:val="0"/>
            </w:pPr>
            <w:r>
              <w:rPr>
                <w:color w:val="222222"/>
                <w:sz w:val="20"/>
                <w:szCs w:val="20"/>
                <w:highlight w:val="white"/>
              </w:rPr>
              <w:t>"children often use native forms at home and speak standard English at school"</w:t>
            </w:r>
          </w:p>
          <w:p w:rsidR="009227EF" w:rsidRDefault="009227EF">
            <w:pPr>
              <w:spacing w:line="288" w:lineRule="auto"/>
              <w:contextualSpacing w:val="0"/>
            </w:pPr>
          </w:p>
          <w:p w:rsidR="009227EF" w:rsidRDefault="008C0E5D">
            <w:pPr>
              <w:spacing w:line="288" w:lineRule="auto"/>
              <w:contextualSpacing w:val="0"/>
            </w:pPr>
            <w:r>
              <w:rPr>
                <w:color w:val="666666"/>
                <w:sz w:val="20"/>
                <w:szCs w:val="20"/>
                <w:highlight w:val="white"/>
              </w:rPr>
              <w:t xml:space="preserve">The English language in its most widely accepted form, as written and spoken by educated people in both formal and informal </w:t>
            </w:r>
            <w:proofErr w:type="spellStart"/>
            <w:r>
              <w:rPr>
                <w:color w:val="666666"/>
                <w:sz w:val="20"/>
                <w:szCs w:val="20"/>
                <w:highlight w:val="white"/>
              </w:rPr>
              <w:t>contexts</w:t>
            </w:r>
            <w:proofErr w:type="gramStart"/>
            <w:r>
              <w:rPr>
                <w:color w:val="666666"/>
                <w:sz w:val="20"/>
                <w:szCs w:val="20"/>
                <w:highlight w:val="white"/>
              </w:rPr>
              <w:t>,having</w:t>
            </w:r>
            <w:proofErr w:type="spellEnd"/>
            <w:proofErr w:type="gramEnd"/>
            <w:r>
              <w:rPr>
                <w:color w:val="666666"/>
                <w:sz w:val="20"/>
                <w:szCs w:val="20"/>
                <w:highlight w:val="white"/>
              </w:rPr>
              <w:t xml:space="preserve"> universal currency while incorporating regional differences.</w:t>
            </w:r>
          </w:p>
        </w:tc>
        <w:tc>
          <w:tcPr>
            <w:tcW w:w="282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I don’t have no books to bring to school 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vs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I don’t have any books to bring to school.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Them</w:t>
            </w:r>
            <w:proofErr w:type="gramEnd"/>
            <w:r>
              <w:rPr>
                <w:sz w:val="20"/>
                <w:szCs w:val="20"/>
              </w:rPr>
              <w:t xml:space="preserve"> didn’t do it.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vs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They didn’t do it.</w:t>
            </w:r>
          </w:p>
          <w:p w:rsidR="009227EF" w:rsidRDefault="009227EF">
            <w:pPr>
              <w:contextualSpacing w:val="0"/>
            </w:pPr>
          </w:p>
        </w:tc>
        <w:tc>
          <w:tcPr>
            <w:tcW w:w="1515" w:type="dxa"/>
          </w:tcPr>
          <w:p w:rsidR="009227EF" w:rsidRDefault="008C0E5D">
            <w:pPr>
              <w:contextualSpacing w:val="0"/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http://www.oxforddictionaries.com/</w:t>
              </w:r>
            </w:hyperlink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dictionary.reference.com</w:t>
            </w:r>
          </w:p>
          <w:p w:rsidR="009227EF" w:rsidRDefault="009227EF">
            <w:pPr>
              <w:contextualSpacing w:val="0"/>
            </w:pPr>
          </w:p>
        </w:tc>
      </w:tr>
    </w:tbl>
    <w:p w:rsidR="009227EF" w:rsidRDefault="009227EF"/>
    <w:p w:rsidR="009227EF" w:rsidRDefault="008C0E5D">
      <w:proofErr w:type="gramStart"/>
      <w:r>
        <w:rPr>
          <w:b/>
          <w:sz w:val="20"/>
          <w:szCs w:val="20"/>
        </w:rPr>
        <w:lastRenderedPageBreak/>
        <w:t>Standard</w:t>
      </w:r>
      <w:r>
        <w:rPr>
          <w:sz w:val="20"/>
          <w:szCs w:val="20"/>
        </w:rPr>
        <w:t xml:space="preserve"> (L.6.2) – Demonstrate command of conventions of Standard English capitalization, punctuation, and spelling when writing.</w:t>
      </w:r>
      <w:proofErr w:type="gramEnd"/>
    </w:p>
    <w:p w:rsidR="009227EF" w:rsidRDefault="009227EF"/>
    <w:p w:rsidR="009227EF" w:rsidRDefault="008C0E5D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punctuation (commas, parentheses, dashes) to set off nonrestrictive/parenthetical elements.</w:t>
      </w:r>
    </w:p>
    <w:p w:rsidR="009227EF" w:rsidRDefault="009227EF"/>
    <w:tbl>
      <w:tblPr>
        <w:tblStyle w:val="a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775"/>
        <w:gridCol w:w="2850"/>
        <w:gridCol w:w="1575"/>
      </w:tblGrid>
      <w:tr w:rsidR="009227EF">
        <w:tc>
          <w:tcPr>
            <w:tcW w:w="208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85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575" w:type="dxa"/>
          </w:tcPr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208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Commas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Use a pair of commas in the middle of a sentence to set off clauses, phrases, and words that are not essential to the meaning of the sentence.</w:t>
            </w:r>
          </w:p>
        </w:tc>
        <w:tc>
          <w:tcPr>
            <w:tcW w:w="285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This restaurant has an exciting atmosphere. The food, </w:t>
            </w:r>
            <w:r>
              <w:rPr>
                <w:i/>
                <w:sz w:val="20"/>
                <w:szCs w:val="20"/>
              </w:rPr>
              <w:t>on the other hand,</w:t>
            </w:r>
            <w:r>
              <w:rPr>
                <w:sz w:val="20"/>
                <w:szCs w:val="20"/>
              </w:rPr>
              <w:t xml:space="preserve"> is rather bland.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9227EF" w:rsidRDefault="009227EF">
            <w:pPr>
              <w:contextualSpacing w:val="0"/>
            </w:pPr>
          </w:p>
        </w:tc>
        <w:tc>
          <w:tcPr>
            <w:tcW w:w="15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208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Parenth</w:t>
            </w:r>
            <w:r>
              <w:rPr>
                <w:b/>
                <w:sz w:val="20"/>
                <w:szCs w:val="20"/>
              </w:rPr>
              <w:t>eses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Use parentheses to set off clauses, phrases, and words that are not essential to the meaning of the sentence. Parentheses decrease importance. </w:t>
            </w:r>
          </w:p>
        </w:tc>
        <w:tc>
          <w:tcPr>
            <w:tcW w:w="285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The overnight managers </w:t>
            </w:r>
            <w:r>
              <w:rPr>
                <w:i/>
                <w:sz w:val="20"/>
                <w:szCs w:val="20"/>
              </w:rPr>
              <w:t>(Connie on weekdays, John on weekends)</w:t>
            </w:r>
            <w:r>
              <w:rPr>
                <w:sz w:val="20"/>
                <w:szCs w:val="20"/>
              </w:rPr>
              <w:t>, will prepare bakery goods, coffee, and tea</w:t>
            </w:r>
            <w:r>
              <w:rPr>
                <w:sz w:val="20"/>
                <w:szCs w:val="20"/>
              </w:rPr>
              <w:t xml:space="preserve"> before the morning shift arrives.</w:t>
            </w:r>
          </w:p>
        </w:tc>
        <w:tc>
          <w:tcPr>
            <w:tcW w:w="15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  <w:p w:rsidR="009227EF" w:rsidRDefault="009227EF">
            <w:pPr>
              <w:contextualSpacing w:val="0"/>
            </w:pPr>
          </w:p>
        </w:tc>
      </w:tr>
      <w:tr w:rsidR="009227EF">
        <w:tc>
          <w:tcPr>
            <w:tcW w:w="208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Dashes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Use dashes to set off clauses, phrases, and words that are not essential to the meaning of the sentence. Dashes increase importance. </w:t>
            </w:r>
          </w:p>
        </w:tc>
        <w:tc>
          <w:tcPr>
            <w:tcW w:w="285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 chemistry student began to say, “An organic solvent will only work with-</w:t>
            </w:r>
            <w:proofErr w:type="gramStart"/>
            <w:r>
              <w:rPr>
                <w:sz w:val="20"/>
                <w:szCs w:val="20"/>
              </w:rPr>
              <w:t>“ when</w:t>
            </w:r>
            <w:proofErr w:type="gramEnd"/>
            <w:r>
              <w:rPr>
                <w:sz w:val="20"/>
                <w:szCs w:val="20"/>
              </w:rPr>
              <w:t xml:space="preserve"> her cell phone rang.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There was only one person suited to the job- Mr. Lee.</w:t>
            </w:r>
          </w:p>
          <w:p w:rsidR="009227EF" w:rsidRDefault="009227EF">
            <w:pPr>
              <w:contextualSpacing w:val="0"/>
            </w:pPr>
          </w:p>
        </w:tc>
        <w:tc>
          <w:tcPr>
            <w:tcW w:w="15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Purdue OWL</w:t>
            </w:r>
          </w:p>
          <w:p w:rsidR="009227EF" w:rsidRDefault="009227EF">
            <w:pPr>
              <w:contextualSpacing w:val="0"/>
            </w:pPr>
          </w:p>
        </w:tc>
      </w:tr>
    </w:tbl>
    <w:p w:rsidR="009227EF" w:rsidRDefault="009227EF"/>
    <w:p w:rsidR="009227EF" w:rsidRDefault="008C0E5D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Spell correctly.</w:t>
      </w:r>
    </w:p>
    <w:p w:rsidR="009227EF" w:rsidRDefault="009227EF"/>
    <w:p w:rsidR="009227EF" w:rsidRDefault="008C0E5D">
      <w:proofErr w:type="gramStart"/>
      <w:r>
        <w:rPr>
          <w:b/>
          <w:sz w:val="20"/>
          <w:szCs w:val="20"/>
        </w:rPr>
        <w:t xml:space="preserve">Standard </w:t>
      </w:r>
      <w:r>
        <w:rPr>
          <w:sz w:val="20"/>
          <w:szCs w:val="20"/>
        </w:rPr>
        <w:t>(L.6.3) – Use knowledge of language and its conventions</w:t>
      </w:r>
      <w:r>
        <w:rPr>
          <w:sz w:val="20"/>
          <w:szCs w:val="20"/>
        </w:rPr>
        <w:t xml:space="preserve"> when writing, speaking, reading, or listening.</w:t>
      </w:r>
      <w:proofErr w:type="gramEnd"/>
    </w:p>
    <w:p w:rsidR="009227EF" w:rsidRDefault="009227EF"/>
    <w:p w:rsidR="009227EF" w:rsidRDefault="008C0E5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Vary sentence patterns for meaning, reader/listener interest, and style.</w:t>
      </w:r>
    </w:p>
    <w:p w:rsidR="009227EF" w:rsidRDefault="009227EF"/>
    <w:tbl>
      <w:tblPr>
        <w:tblStyle w:val="a5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775"/>
        <w:gridCol w:w="2835"/>
        <w:gridCol w:w="1395"/>
      </w:tblGrid>
      <w:tr w:rsidR="009227EF">
        <w:tc>
          <w:tcPr>
            <w:tcW w:w="21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8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39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Resource(s)</w:t>
            </w:r>
          </w:p>
        </w:tc>
      </w:tr>
      <w:tr w:rsidR="009227EF">
        <w:tc>
          <w:tcPr>
            <w:tcW w:w="211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Style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 way you write, as opposed to what you write about.  It results from things like word choice, tone, and syntax.</w:t>
            </w:r>
          </w:p>
        </w:tc>
        <w:tc>
          <w:tcPr>
            <w:tcW w:w="28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Writing in simple, direct sentences, using few adjectives.</w:t>
            </w:r>
          </w:p>
        </w:tc>
        <w:tc>
          <w:tcPr>
            <w:tcW w:w="139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fictionwriting.about.com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Maintain consistency in style and tone.</w:t>
      </w:r>
    </w:p>
    <w:p w:rsidR="009227EF" w:rsidRDefault="009227EF"/>
    <w:tbl>
      <w:tblPr>
        <w:tblStyle w:val="a6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775"/>
        <w:gridCol w:w="2760"/>
        <w:gridCol w:w="1335"/>
      </w:tblGrid>
      <w:tr w:rsidR="009227EF">
        <w:tc>
          <w:tcPr>
            <w:tcW w:w="219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76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3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Resource(s)</w:t>
            </w:r>
          </w:p>
        </w:tc>
      </w:tr>
      <w:tr w:rsidR="009227EF">
        <w:tc>
          <w:tcPr>
            <w:tcW w:w="2190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Tone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Tone is reflective of your mood as you are writing.  </w:t>
            </w:r>
          </w:p>
        </w:tc>
        <w:tc>
          <w:tcPr>
            <w:tcW w:w="276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Tone can be joyful, serious, humorous, sad, threatening, formal, informal, pessimistic, and optimistic.</w:t>
            </w:r>
          </w:p>
        </w:tc>
        <w:tc>
          <w:tcPr>
            <w:tcW w:w="133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examples.yourdictionary.com</w:t>
            </w:r>
          </w:p>
        </w:tc>
      </w:tr>
    </w:tbl>
    <w:p w:rsidR="009227EF" w:rsidRDefault="009227EF"/>
    <w:p w:rsidR="009227EF" w:rsidRDefault="008C0E5D">
      <w:r>
        <w:rPr>
          <w:b/>
          <w:sz w:val="20"/>
          <w:szCs w:val="20"/>
        </w:rPr>
        <w:t>Standard</w:t>
      </w:r>
      <w:r>
        <w:rPr>
          <w:sz w:val="20"/>
          <w:szCs w:val="20"/>
        </w:rPr>
        <w:t xml:space="preserve"> (L.6.4) – Determine or clarify the meaning of unknown and multiple-meaning words and phrases based on grade 6 reading and content, choosing flexibility from a range of strategies.</w:t>
      </w:r>
    </w:p>
    <w:p w:rsidR="009227EF" w:rsidRDefault="009227EF"/>
    <w:p w:rsidR="009227EF" w:rsidRDefault="008C0E5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context (the overall meaning of a sentence or paragraph; a word’s posi</w:t>
      </w:r>
      <w:r>
        <w:rPr>
          <w:sz w:val="20"/>
          <w:szCs w:val="20"/>
        </w:rPr>
        <w:t>tion of function in a sentence) as a clue to the meaning of a word or phrase.</w:t>
      </w:r>
    </w:p>
    <w:p w:rsidR="009227EF" w:rsidRDefault="009227EF"/>
    <w:tbl>
      <w:tblPr>
        <w:tblStyle w:val="a7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715"/>
        <w:gridCol w:w="2850"/>
        <w:gridCol w:w="1230"/>
      </w:tblGrid>
      <w:tr w:rsidR="009227EF">
        <w:tc>
          <w:tcPr>
            <w:tcW w:w="222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85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23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Resources</w:t>
            </w:r>
          </w:p>
        </w:tc>
      </w:tr>
      <w:tr w:rsidR="009227EF">
        <w:tc>
          <w:tcPr>
            <w:tcW w:w="2220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Context clue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11"/>
          </w:p>
          <w:p w:rsidR="009227EF" w:rsidRDefault="008C0E5D">
            <w:pPr>
              <w:contextualSpacing w:val="0"/>
            </w:pPr>
            <w:hyperlink r:id="rId12"/>
          </w:p>
          <w:p w:rsidR="009227EF" w:rsidRDefault="008C0E5D">
            <w:pPr>
              <w:contextualSpacing w:val="0"/>
            </w:pPr>
            <w:hyperlink r:id="rId13"/>
          </w:p>
        </w:tc>
        <w:tc>
          <w:tcPr>
            <w:tcW w:w="27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The part of a text or statement that surrounds an </w:t>
            </w:r>
            <w:proofErr w:type="gramStart"/>
            <w:r>
              <w:rPr>
                <w:sz w:val="20"/>
                <w:szCs w:val="20"/>
              </w:rPr>
              <w:t>unfamiliar  word</w:t>
            </w:r>
            <w:proofErr w:type="gramEnd"/>
            <w:r>
              <w:rPr>
                <w:sz w:val="20"/>
                <w:szCs w:val="20"/>
              </w:rPr>
              <w:t xml:space="preserve"> or passage and determines its meaning.</w:t>
            </w:r>
          </w:p>
        </w:tc>
        <w:tc>
          <w:tcPr>
            <w:tcW w:w="285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Brian and the pilot sat in the cockpit of the plane. (</w:t>
            </w:r>
            <w:proofErr w:type="gramStart"/>
            <w:r>
              <w:rPr>
                <w:sz w:val="20"/>
                <w:szCs w:val="20"/>
              </w:rPr>
              <w:t>cockpit</w:t>
            </w:r>
            <w:proofErr w:type="gramEnd"/>
            <w:r>
              <w:rPr>
                <w:sz w:val="20"/>
                <w:szCs w:val="20"/>
              </w:rPr>
              <w:t xml:space="preserve"> refers to the control center of the p</w:t>
            </w:r>
            <w:r>
              <w:rPr>
                <w:sz w:val="20"/>
                <w:szCs w:val="20"/>
              </w:rPr>
              <w:t>lane.)</w:t>
            </w:r>
          </w:p>
        </w:tc>
        <w:tc>
          <w:tcPr>
            <w:tcW w:w="1230" w:type="dxa"/>
          </w:tcPr>
          <w:p w:rsidR="009227EF" w:rsidRDefault="008C0E5D">
            <w:pPr>
              <w:contextualSpacing w:val="0"/>
            </w:pPr>
            <w:hyperlink r:id="rId14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Dictionaray</w:t>
              </w:r>
              <w:proofErr w:type="spellEnd"/>
            </w:hyperlink>
          </w:p>
        </w:tc>
      </w:tr>
    </w:tbl>
    <w:p w:rsidR="009227EF" w:rsidRDefault="009227EF"/>
    <w:p w:rsidR="009227EF" w:rsidRDefault="008C0E5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common, grade-appropriate Greek or Latin affixes and roots as clues to the meaning of a word.</w:t>
      </w:r>
    </w:p>
    <w:p w:rsidR="009227EF" w:rsidRDefault="009227EF"/>
    <w:tbl>
      <w:tblPr>
        <w:tblStyle w:val="a8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25"/>
        <w:gridCol w:w="2775"/>
        <w:gridCol w:w="1185"/>
      </w:tblGrid>
      <w:tr w:rsidR="009227EF">
        <w:tc>
          <w:tcPr>
            <w:tcW w:w="24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62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185" w:type="dxa"/>
          </w:tcPr>
          <w:p w:rsidR="009227EF" w:rsidRDefault="008C0E5D">
            <w:pPr>
              <w:contextualSpacing w:val="0"/>
            </w:pPr>
            <w:proofErr w:type="spellStart"/>
            <w:r>
              <w:rPr>
                <w:sz w:val="20"/>
                <w:szCs w:val="20"/>
              </w:rPr>
              <w:t>Resourc</w:t>
            </w:r>
            <w:proofErr w:type="spellEnd"/>
            <w:r>
              <w:rPr>
                <w:sz w:val="20"/>
                <w:szCs w:val="20"/>
              </w:rPr>
              <w:t>(s)</w:t>
            </w:r>
          </w:p>
        </w:tc>
      </w:tr>
      <w:tr w:rsidR="009227EF">
        <w:tc>
          <w:tcPr>
            <w:tcW w:w="241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Greek and Latin roots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62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The root word is also a word in its own right. For example, the word </w:t>
            </w:r>
            <w:r>
              <w:rPr>
                <w:i/>
                <w:sz w:val="20"/>
                <w:szCs w:val="20"/>
              </w:rPr>
              <w:t>lovely</w:t>
            </w:r>
            <w:r>
              <w:rPr>
                <w:sz w:val="20"/>
                <w:szCs w:val="20"/>
              </w:rPr>
              <w:t xml:space="preserve"> consists of the word </w:t>
            </w:r>
            <w:r>
              <w:rPr>
                <w:i/>
                <w:sz w:val="20"/>
                <w:szCs w:val="20"/>
              </w:rPr>
              <w:t>love</w:t>
            </w:r>
            <w:r>
              <w:rPr>
                <w:sz w:val="20"/>
                <w:szCs w:val="20"/>
              </w:rPr>
              <w:t xml:space="preserve"> and the suffix </w:t>
            </w:r>
            <w:r>
              <w:rPr>
                <w:i/>
                <w:sz w:val="20"/>
                <w:szCs w:val="20"/>
              </w:rPr>
              <w:t>–</w:t>
            </w:r>
            <w:proofErr w:type="spellStart"/>
            <w:r>
              <w:rPr>
                <w:i/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In contrast, a </w:t>
            </w:r>
            <w:r>
              <w:rPr>
                <w:i/>
                <w:sz w:val="20"/>
                <w:szCs w:val="20"/>
              </w:rPr>
              <w:t>root</w:t>
            </w:r>
            <w:r>
              <w:rPr>
                <w:sz w:val="20"/>
                <w:szCs w:val="20"/>
              </w:rPr>
              <w:t xml:space="preserve"> is the basis of a new word, but it does not typically form a stand-alone word on its own.  For example, the word </w:t>
            </w:r>
            <w:r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eject</w:t>
            </w:r>
            <w:r>
              <w:rPr>
                <w:sz w:val="20"/>
                <w:szCs w:val="20"/>
              </w:rPr>
              <w:t xml:space="preserve"> is made up of the prefix </w:t>
            </w:r>
            <w:r>
              <w:rPr>
                <w:i/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 xml:space="preserve"> and the Latin root </w:t>
            </w:r>
            <w:proofErr w:type="spellStart"/>
            <w:r>
              <w:rPr>
                <w:i/>
                <w:sz w:val="20"/>
                <w:szCs w:val="20"/>
              </w:rPr>
              <w:t>ject</w:t>
            </w:r>
            <w:proofErr w:type="spellEnd"/>
            <w:r>
              <w:rPr>
                <w:sz w:val="20"/>
                <w:szCs w:val="20"/>
              </w:rPr>
              <w:t>, which is not a stand-alone word.</w:t>
            </w: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Latin root – “</w:t>
            </w:r>
            <w:r>
              <w:rPr>
                <w:i/>
                <w:sz w:val="20"/>
                <w:szCs w:val="20"/>
              </w:rPr>
              <w:t>aqua</w:t>
            </w:r>
            <w:r>
              <w:rPr>
                <w:sz w:val="20"/>
                <w:szCs w:val="20"/>
              </w:rPr>
              <w:t xml:space="preserve">” and the definition is water. 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Example –</w:t>
            </w:r>
            <w:r>
              <w:rPr>
                <w:sz w:val="20"/>
                <w:szCs w:val="20"/>
              </w:rPr>
              <w:t xml:space="preserve"> Aquamarine, aquarium.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Greek root – “</w:t>
            </w:r>
            <w:r>
              <w:rPr>
                <w:i/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” and the definition is life.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Example:</w:t>
            </w:r>
            <w:r>
              <w:rPr>
                <w:sz w:val="20"/>
                <w:szCs w:val="20"/>
              </w:rPr>
              <w:t xml:space="preserve"> Biography, biology.</w:t>
            </w:r>
          </w:p>
        </w:tc>
        <w:tc>
          <w:tcPr>
            <w:tcW w:w="1185" w:type="dxa"/>
          </w:tcPr>
          <w:p w:rsidR="009227EF" w:rsidRDefault="008C0E5D">
            <w:pPr>
              <w:contextualSpacing w:val="0"/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http://www.readingrockets.org</w:t>
              </w:r>
            </w:hyperlink>
          </w:p>
        </w:tc>
      </w:tr>
      <w:tr w:rsidR="009227EF">
        <w:tc>
          <w:tcPr>
            <w:tcW w:w="241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Greek and Latin affixes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62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Many new words are formed by adding an affix to the beginning or end of a Latin or Greek root or root word.  When affixes are added to the beginning of</w:t>
            </w:r>
            <w:r>
              <w:rPr>
                <w:sz w:val="20"/>
                <w:szCs w:val="20"/>
              </w:rPr>
              <w:t xml:space="preserve"> roots or root words, they are called prefixes. When affixes are added to the end of roots or root words, they are called </w:t>
            </w:r>
            <w:r>
              <w:rPr>
                <w:i/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Prefix is </w:t>
            </w:r>
            <w:r>
              <w:rPr>
                <w:i/>
                <w:sz w:val="20"/>
                <w:szCs w:val="20"/>
              </w:rPr>
              <w:t xml:space="preserve">“anti” </w:t>
            </w:r>
            <w:r>
              <w:rPr>
                <w:sz w:val="20"/>
                <w:szCs w:val="20"/>
              </w:rPr>
              <w:t>and the definition is against.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Example:</w:t>
            </w:r>
            <w:r>
              <w:rPr>
                <w:sz w:val="20"/>
                <w:szCs w:val="20"/>
              </w:rPr>
              <w:t xml:space="preserve"> anticlimax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Suffix is </w:t>
            </w:r>
            <w:r>
              <w:rPr>
                <w:i/>
                <w:sz w:val="20"/>
                <w:szCs w:val="20"/>
              </w:rPr>
              <w:t xml:space="preserve">“able or </w:t>
            </w:r>
            <w:proofErr w:type="spellStart"/>
            <w:r>
              <w:rPr>
                <w:i/>
                <w:sz w:val="20"/>
                <w:szCs w:val="20"/>
              </w:rPr>
              <w:t>ible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meaning is; can be.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Example:</w:t>
            </w:r>
            <w:r>
              <w:rPr>
                <w:sz w:val="20"/>
                <w:szCs w:val="20"/>
              </w:rPr>
              <w:t xml:space="preserve"> afford</w:t>
            </w:r>
            <w:r>
              <w:rPr>
                <w:i/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>, sens</w:t>
            </w:r>
            <w:r>
              <w:rPr>
                <w:i/>
                <w:sz w:val="20"/>
                <w:szCs w:val="20"/>
              </w:rPr>
              <w:t>ible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http://www.readingrockets.org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Consult reference materials (dictionaries, glossaries, thesauruses) both print and digital, to find the pronunciation of a word or determine or clarify its precise meaning or its part of speech.</w:t>
      </w:r>
    </w:p>
    <w:p w:rsidR="009227EF" w:rsidRDefault="009227EF"/>
    <w:p w:rsidR="009227EF" w:rsidRDefault="008C0E5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Verif</w:t>
      </w:r>
      <w:r>
        <w:rPr>
          <w:sz w:val="20"/>
          <w:szCs w:val="20"/>
        </w:rPr>
        <w:t>y the preliminary determination of the meaning of a word or phrase (by checking the inferred meaning in context or in a dictionary).</w:t>
      </w:r>
    </w:p>
    <w:p w:rsidR="009227EF" w:rsidRDefault="009227EF"/>
    <w:p w:rsidR="009227EF" w:rsidRDefault="008C0E5D">
      <w:r>
        <w:rPr>
          <w:b/>
          <w:sz w:val="20"/>
          <w:szCs w:val="20"/>
        </w:rPr>
        <w:t>Standard</w:t>
      </w:r>
      <w:r>
        <w:rPr>
          <w:sz w:val="20"/>
          <w:szCs w:val="20"/>
        </w:rPr>
        <w:t xml:space="preserve"> (L.6.5) – Demonstrate understanding of figurative language, word relationships, and nuances in word meanings.</w:t>
      </w:r>
    </w:p>
    <w:p w:rsidR="009227EF" w:rsidRDefault="009227EF"/>
    <w:p w:rsidR="009227EF" w:rsidRDefault="008C0E5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z w:val="20"/>
          <w:szCs w:val="20"/>
        </w:rPr>
        <w:t>terpret figures of speech (personification) in context.</w:t>
      </w:r>
    </w:p>
    <w:p w:rsidR="009227EF" w:rsidRDefault="009227EF"/>
    <w:tbl>
      <w:tblPr>
        <w:tblStyle w:val="a9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610"/>
        <w:gridCol w:w="2655"/>
        <w:gridCol w:w="1305"/>
      </w:tblGrid>
      <w:tr w:rsidR="009227EF">
        <w:tc>
          <w:tcPr>
            <w:tcW w:w="243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6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3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Resource(s)</w:t>
            </w:r>
          </w:p>
        </w:tc>
      </w:tr>
      <w:tr w:rsidR="009227EF">
        <w:tc>
          <w:tcPr>
            <w:tcW w:w="2430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Personification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61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Language that gives an object human characteristics.</w:t>
            </w:r>
          </w:p>
        </w:tc>
        <w:tc>
          <w:tcPr>
            <w:tcW w:w="26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The stars </w:t>
            </w:r>
            <w:r>
              <w:rPr>
                <w:i/>
                <w:sz w:val="20"/>
                <w:szCs w:val="20"/>
              </w:rPr>
              <w:t xml:space="preserve">danced </w:t>
            </w:r>
            <w:r>
              <w:rPr>
                <w:sz w:val="20"/>
                <w:szCs w:val="20"/>
              </w:rPr>
              <w:t>playfully in the moonlit sky.</w:t>
            </w:r>
          </w:p>
          <w:p w:rsidR="009227EF" w:rsidRDefault="009227EF">
            <w:pPr>
              <w:contextualSpacing w:val="0"/>
            </w:pPr>
          </w:p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The run down house appeared </w:t>
            </w:r>
            <w:r>
              <w:rPr>
                <w:i/>
                <w:sz w:val="20"/>
                <w:szCs w:val="20"/>
              </w:rPr>
              <w:t>depressed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 Purdue OWL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Use the relationship between particular words (cause/effect, part/whole, </w:t>
      </w:r>
      <w:proofErr w:type="gramStart"/>
      <w:r>
        <w:rPr>
          <w:sz w:val="20"/>
          <w:szCs w:val="20"/>
        </w:rPr>
        <w:t>item</w:t>
      </w:r>
      <w:proofErr w:type="gramEnd"/>
      <w:r>
        <w:rPr>
          <w:sz w:val="20"/>
          <w:szCs w:val="20"/>
        </w:rPr>
        <w:t>/category) to better understand each of the words.</w:t>
      </w:r>
    </w:p>
    <w:p w:rsidR="009227EF" w:rsidRDefault="009227EF"/>
    <w:tbl>
      <w:tblPr>
        <w:tblStyle w:val="aa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715"/>
        <w:gridCol w:w="2655"/>
        <w:gridCol w:w="1380"/>
      </w:tblGrid>
      <w:tr w:rsidR="009227EF">
        <w:tc>
          <w:tcPr>
            <w:tcW w:w="23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6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3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Resource(s)</w:t>
            </w:r>
          </w:p>
        </w:tc>
      </w:tr>
      <w:tr w:rsidR="009227EF">
        <w:tc>
          <w:tcPr>
            <w:tcW w:w="235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Cause/Effect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71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 claims argue that one person, thing, or event caused another thing or event to occur.</w:t>
            </w:r>
          </w:p>
        </w:tc>
        <w:tc>
          <w:tcPr>
            <w:tcW w:w="265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The popularity of SUV’s in America has caused pollution to increase.</w:t>
            </w:r>
          </w:p>
        </w:tc>
        <w:tc>
          <w:tcPr>
            <w:tcW w:w="13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 Purdue OWL</w:t>
            </w:r>
          </w:p>
        </w:tc>
      </w:tr>
    </w:tbl>
    <w:p w:rsidR="009227EF" w:rsidRDefault="009227EF"/>
    <w:p w:rsidR="009227EF" w:rsidRDefault="008C0E5D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Distinguish among the connotations (associations) of words with similar denotations</w:t>
      </w:r>
      <w:r>
        <w:rPr>
          <w:sz w:val="20"/>
          <w:szCs w:val="20"/>
        </w:rPr>
        <w:t xml:space="preserve"> (definitions).</w:t>
      </w:r>
    </w:p>
    <w:p w:rsidR="009227EF" w:rsidRDefault="009227EF"/>
    <w:tbl>
      <w:tblPr>
        <w:tblStyle w:val="ab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670"/>
        <w:gridCol w:w="2760"/>
        <w:gridCol w:w="1380"/>
      </w:tblGrid>
      <w:tr w:rsidR="009227EF">
        <w:tc>
          <w:tcPr>
            <w:tcW w:w="2295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67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276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Examples</w:t>
            </w:r>
          </w:p>
        </w:tc>
        <w:tc>
          <w:tcPr>
            <w:tcW w:w="13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Resource(s)</w:t>
            </w:r>
          </w:p>
        </w:tc>
      </w:tr>
      <w:tr w:rsidR="009227EF">
        <w:tc>
          <w:tcPr>
            <w:tcW w:w="2295" w:type="dxa"/>
          </w:tcPr>
          <w:p w:rsidR="009227EF" w:rsidRDefault="008C0E5D">
            <w:pPr>
              <w:contextualSpacing w:val="0"/>
            </w:pPr>
            <w:r>
              <w:rPr>
                <w:b/>
                <w:sz w:val="20"/>
                <w:szCs w:val="20"/>
              </w:rPr>
              <w:t>Connotations</w:t>
            </w:r>
          </w:p>
          <w:p w:rsidR="009227EF" w:rsidRDefault="009227EF">
            <w:pPr>
              <w:contextualSpacing w:val="0"/>
            </w:pPr>
          </w:p>
          <w:p w:rsidR="009227EF" w:rsidRDefault="009227EF">
            <w:pPr>
              <w:contextualSpacing w:val="0"/>
            </w:pPr>
          </w:p>
        </w:tc>
        <w:tc>
          <w:tcPr>
            <w:tcW w:w="267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 xml:space="preserve">- The emotions and associations connected to a word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known as its connotative meaning. Depending on our experiences, certain words have a positive, negative, or neutral connection.</w:t>
            </w:r>
          </w:p>
        </w:tc>
        <w:tc>
          <w:tcPr>
            <w:tcW w:w="276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Childish and childlike implies that someone is immature, but youthful infers that someone is lively and energetic.</w:t>
            </w:r>
          </w:p>
        </w:tc>
        <w:tc>
          <w:tcPr>
            <w:tcW w:w="1380" w:type="dxa"/>
          </w:tcPr>
          <w:p w:rsidR="009227EF" w:rsidRDefault="008C0E5D">
            <w:pPr>
              <w:contextualSpacing w:val="0"/>
            </w:pPr>
            <w:r>
              <w:rPr>
                <w:sz w:val="20"/>
                <w:szCs w:val="20"/>
              </w:rPr>
              <w:t>Yourdictionary.com</w:t>
            </w:r>
          </w:p>
        </w:tc>
      </w:tr>
    </w:tbl>
    <w:p w:rsidR="009227EF" w:rsidRDefault="009227EF"/>
    <w:p w:rsidR="009227EF" w:rsidRDefault="008C0E5D">
      <w:r>
        <w:rPr>
          <w:b/>
          <w:sz w:val="20"/>
          <w:szCs w:val="20"/>
        </w:rPr>
        <w:t>Standard</w:t>
      </w:r>
      <w:r>
        <w:rPr>
          <w:sz w:val="20"/>
          <w:szCs w:val="20"/>
        </w:rPr>
        <w:t xml:space="preserve"> (L.6.6) – Acquire and use accurately grade-appropriate general academic and domain-specific words and phrases; </w:t>
      </w:r>
      <w:r>
        <w:rPr>
          <w:sz w:val="20"/>
          <w:szCs w:val="20"/>
        </w:rPr>
        <w:t>gather vocabulary knowledge when considering a word or phrase important to comprehension or expression.</w:t>
      </w:r>
    </w:p>
    <w:sectPr w:rsidR="009227E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8BE"/>
    <w:multiLevelType w:val="multilevel"/>
    <w:tmpl w:val="97DEA6D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AC6207B"/>
    <w:multiLevelType w:val="multilevel"/>
    <w:tmpl w:val="B0D0ABD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0F6551A"/>
    <w:multiLevelType w:val="multilevel"/>
    <w:tmpl w:val="27A07CE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21C6DEA"/>
    <w:multiLevelType w:val="multilevel"/>
    <w:tmpl w:val="F962DD1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24B7B26"/>
    <w:multiLevelType w:val="multilevel"/>
    <w:tmpl w:val="7AF2243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27EF"/>
    <w:rsid w:val="008C0E5D"/>
    <w:rsid w:val="009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oZFca8AkT0" TargetMode="External"/><Relationship Id="rId13" Type="http://schemas.openxmlformats.org/officeDocument/2006/relationships/hyperlink" Target="http://www.thefreedictionar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fGEJJ9g1tI" TargetMode="External"/><Relationship Id="rId12" Type="http://schemas.openxmlformats.org/officeDocument/2006/relationships/hyperlink" Target="http://www.thefreedictionar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ritingcentre.uottowa.ca" TargetMode="External"/><Relationship Id="rId11" Type="http://schemas.openxmlformats.org/officeDocument/2006/relationships/hyperlink" Target="http://www.thefreedictionar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dingrockets.org" TargetMode="External"/><Relationship Id="rId10" Type="http://schemas.openxmlformats.org/officeDocument/2006/relationships/hyperlink" Target="http://www.oxforddictiona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rbook.com/grammar/whoVwhom.asp" TargetMode="External"/><Relationship Id="rId14" Type="http://schemas.openxmlformats.org/officeDocument/2006/relationships/hyperlink" Target="http://www.thefreedictio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Noble</dc:creator>
  <cp:lastModifiedBy>Kim Noble</cp:lastModifiedBy>
  <cp:revision>2</cp:revision>
  <dcterms:created xsi:type="dcterms:W3CDTF">2015-11-19T17:15:00Z</dcterms:created>
  <dcterms:modified xsi:type="dcterms:W3CDTF">2015-11-19T17:15:00Z</dcterms:modified>
</cp:coreProperties>
</file>